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7F07B" w14:textId="57D013DD" w:rsidR="00003949" w:rsidRDefault="00523CEC" w:rsidP="00D00F7E">
      <w:pPr>
        <w:pStyle w:val="ListParagraph"/>
        <w:rPr>
          <w:rFonts w:asciiTheme="majorHAnsi" w:eastAsiaTheme="majorEastAsia" w:hAnsiTheme="majorHAnsi" w:cstheme="majorBidi"/>
          <w:color w:val="5F5F5F" w:themeColor="accent5"/>
          <w:sz w:val="44"/>
          <w:szCs w:val="44"/>
        </w:rPr>
      </w:pPr>
      <w:r>
        <w:rPr>
          <w:noProof/>
        </w:rPr>
        <w:pict w14:anchorId="4C3DE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Title Page Picture for the Consultation Paper" style="position:absolute;left:0;text-align:left;margin-left:-70.8pt;margin-top:-92.05pt;width:594.85pt;height:857.25pt;z-index:-251658752">
            <v:imagedata r:id="rId12" o:title=""/>
          </v:shape>
        </w:pict>
      </w:r>
    </w:p>
    <w:p w14:paraId="4331D0A6" w14:textId="77777777" w:rsidR="00003949" w:rsidRPr="009A6159" w:rsidRDefault="00003949" w:rsidP="003D25F7">
      <w:pPr>
        <w:pStyle w:val="Title"/>
        <w:rPr>
          <w:rFonts w:cstheme="majorHAnsi"/>
          <w:sz w:val="34"/>
          <w:szCs w:val="14"/>
        </w:rPr>
      </w:pPr>
    </w:p>
    <w:p w14:paraId="4EB4A568" w14:textId="77777777" w:rsidR="00003949" w:rsidRDefault="00003949" w:rsidP="003D25F7">
      <w:pPr>
        <w:pStyle w:val="Title"/>
        <w:rPr>
          <w:rFonts w:cstheme="majorHAnsi"/>
        </w:rPr>
      </w:pPr>
    </w:p>
    <w:p w14:paraId="11C79B78" w14:textId="76F80C5B" w:rsidR="003D25F7" w:rsidRPr="005055F3" w:rsidRDefault="003D25F7" w:rsidP="5ACEC0AB">
      <w:pPr>
        <w:pStyle w:val="Title"/>
        <w:rPr>
          <w:rFonts w:cstheme="majorHAnsi"/>
        </w:rPr>
      </w:pPr>
      <w:r w:rsidRPr="005055F3">
        <w:rPr>
          <w:rFonts w:cstheme="majorHAnsi"/>
        </w:rPr>
        <w:t>Independent Review of the Food and Grocery Code of Conduct 2023-24</w:t>
      </w:r>
    </w:p>
    <w:p w14:paraId="5D975104" w14:textId="6431CF87" w:rsidR="00A97160" w:rsidRPr="006923DF" w:rsidRDefault="005C7944" w:rsidP="004C2902">
      <w:pPr>
        <w:pStyle w:val="Subtitle"/>
        <w:spacing w:after="360"/>
      </w:pPr>
      <w:r>
        <w:t>Consultation</w:t>
      </w:r>
      <w:r w:rsidR="00BA1525">
        <w:t xml:space="preserve"> paper</w:t>
      </w:r>
    </w:p>
    <w:p w14:paraId="110BE11F" w14:textId="69396168" w:rsidR="00A97160" w:rsidRPr="00586605" w:rsidRDefault="008761F7" w:rsidP="006923DF">
      <w:pPr>
        <w:pStyle w:val="ReportDate"/>
      </w:pPr>
      <w:r>
        <w:rPr>
          <w:rStyle w:val="ReportDateChar"/>
        </w:rPr>
        <w:t>February</w:t>
      </w:r>
      <w:r w:rsidR="006849E3">
        <w:rPr>
          <w:rStyle w:val="ReportDateChar"/>
        </w:rPr>
        <w:t xml:space="preserve"> 2024</w:t>
      </w:r>
    </w:p>
    <w:p w14:paraId="6DBC31FA" w14:textId="3014ECB9" w:rsidR="00D75814" w:rsidRDefault="00D75814" w:rsidP="002F26A5"/>
    <w:p w14:paraId="60D6DAC8" w14:textId="6761AD0D" w:rsidR="00D75814" w:rsidRPr="00586605" w:rsidRDefault="00D75814" w:rsidP="00D75814">
      <w:pPr>
        <w:pStyle w:val="ReportDate"/>
      </w:pPr>
    </w:p>
    <w:p w14:paraId="7593BF60" w14:textId="334D6600" w:rsidR="00D75814" w:rsidRDefault="00D75814" w:rsidP="002F26A5"/>
    <w:p w14:paraId="78708E8E" w14:textId="706A4DDF" w:rsidR="007037C4" w:rsidRPr="002F26A5" w:rsidRDefault="007037C4" w:rsidP="002F26A5">
      <w:pPr>
        <w:sectPr w:rsidR="007037C4" w:rsidRPr="002F26A5" w:rsidSect="008D43B4">
          <w:headerReference w:type="first" r:id="rId13"/>
          <w:pgSz w:w="11906" w:h="16838" w:code="9"/>
          <w:pgMar w:top="1843" w:right="1418" w:bottom="1418" w:left="1418" w:header="709" w:footer="709" w:gutter="0"/>
          <w:pgNumType w:fmt="lowerRoman" w:start="0"/>
          <w:cols w:space="708"/>
          <w:vAlign w:val="center"/>
          <w:titlePg/>
          <w:docGrid w:linePitch="360"/>
        </w:sectPr>
      </w:pPr>
    </w:p>
    <w:p w14:paraId="7FF9B4CC" w14:textId="77777777" w:rsidR="00814074" w:rsidRDefault="00814074" w:rsidP="00814074">
      <w:r w:rsidRPr="00661BF0">
        <w:lastRenderedPageBreak/>
        <w:t>© Commonwealth of A</w:t>
      </w:r>
      <w:r w:rsidRPr="007E17A8">
        <w:t>ustralia 2024</w:t>
      </w:r>
    </w:p>
    <w:p w14:paraId="2999FD6E" w14:textId="77777777" w:rsidR="00814074" w:rsidRPr="00086F82" w:rsidRDefault="00814074" w:rsidP="00814074">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t>.</w:t>
      </w:r>
      <w:r w:rsidRPr="002F1BC2">
        <w:t xml:space="preserve">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139C409A" w14:textId="77777777" w:rsidR="00814074" w:rsidRDefault="00814074" w:rsidP="00814074">
      <w:pPr>
        <w:pStyle w:val="ChartGraphic"/>
        <w:jc w:val="left"/>
      </w:pPr>
      <w:r w:rsidRPr="00E56DFB">
        <w:rPr>
          <w:noProof/>
          <w:color w:val="2B579A"/>
          <w:shd w:val="clear" w:color="auto" w:fill="E6E6E6"/>
          <w:lang w:eastAsia="zh-CN"/>
        </w:rPr>
        <w:drawing>
          <wp:inline distT="0" distB="0" distL="0" distR="0" wp14:anchorId="79B03E1B" wp14:editId="794B9621">
            <wp:extent cx="809625" cy="285750"/>
            <wp:effectExtent l="0" t="0" r="9525" b="0"/>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C670D0A" w14:textId="77777777" w:rsidR="00814074" w:rsidRPr="006627B4" w:rsidRDefault="00814074" w:rsidP="00814074">
      <w:pPr>
        <w:tabs>
          <w:tab w:val="left" w:pos="1650"/>
        </w:tabs>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86C2235" w14:textId="77777777" w:rsidR="00814074" w:rsidRPr="0031276E" w:rsidRDefault="00814074" w:rsidP="00814074">
      <w:pPr>
        <w:rPr>
          <w:b/>
        </w:rPr>
      </w:pPr>
      <w:r w:rsidRPr="0031276E">
        <w:rPr>
          <w:b/>
        </w:rPr>
        <w:t>Treasury material used ‘as supplied’.</w:t>
      </w:r>
    </w:p>
    <w:p w14:paraId="7769228B" w14:textId="77777777" w:rsidR="00814074" w:rsidRPr="00476F09" w:rsidRDefault="00814074" w:rsidP="00814074">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75F1FCA" w14:textId="77777777" w:rsidR="00814074" w:rsidRPr="00A13A11" w:rsidRDefault="00814074" w:rsidP="00814074">
      <w:pPr>
        <w:ind w:firstLine="720"/>
      </w:pPr>
      <w:r w:rsidRPr="002F1BC2">
        <w:rPr>
          <w:i/>
        </w:rPr>
        <w:t xml:space="preserve">Source: The </w:t>
      </w:r>
      <w:r w:rsidRPr="002F1BC2">
        <w:rPr>
          <w:i/>
          <w:iCs/>
        </w:rPr>
        <w:t>Australian Government the Treasury</w:t>
      </w:r>
      <w:r>
        <w:rPr>
          <w:i/>
          <w:iCs/>
        </w:rPr>
        <w:t>.</w:t>
      </w:r>
    </w:p>
    <w:p w14:paraId="37535470" w14:textId="77777777" w:rsidR="00814074" w:rsidRPr="006627B4" w:rsidRDefault="00814074" w:rsidP="00814074">
      <w:r w:rsidRPr="00CC63CC">
        <w:rPr>
          <w:b/>
        </w:rPr>
        <w:t>Derivative</w:t>
      </w:r>
      <w:r w:rsidRPr="006627B4">
        <w:t xml:space="preserve"> </w:t>
      </w:r>
      <w:r w:rsidRPr="00CC63CC">
        <w:rPr>
          <w:b/>
        </w:rPr>
        <w:t>material</w:t>
      </w:r>
    </w:p>
    <w:p w14:paraId="12DB0E2E" w14:textId="77777777" w:rsidR="00814074" w:rsidRPr="006627B4" w:rsidRDefault="00814074" w:rsidP="00814074">
      <w:r w:rsidRPr="006627B4">
        <w:t xml:space="preserve">If you have modified or transformed Treasury material, or derived new material from those of the Treasury in any way, then Treasury prefers the following attribution: </w:t>
      </w:r>
    </w:p>
    <w:p w14:paraId="78BBA4BE" w14:textId="77777777" w:rsidR="00814074" w:rsidRPr="006627B4" w:rsidRDefault="00814074" w:rsidP="00814074">
      <w:pPr>
        <w:ind w:firstLine="720"/>
      </w:pPr>
      <w:r w:rsidRPr="002F1BC2">
        <w:rPr>
          <w:i/>
        </w:rPr>
        <w:t>Based on The Australian Government the Treasury data</w:t>
      </w:r>
      <w:r>
        <w:rPr>
          <w:i/>
        </w:rPr>
        <w:t>.</w:t>
      </w:r>
      <w:r w:rsidRPr="006627B4">
        <w:t xml:space="preserve"> </w:t>
      </w:r>
    </w:p>
    <w:p w14:paraId="51AC0967" w14:textId="77777777" w:rsidR="00814074" w:rsidRPr="006627B4" w:rsidRDefault="00814074" w:rsidP="00814074">
      <w:pPr>
        <w:rPr>
          <w:b/>
        </w:rPr>
      </w:pPr>
      <w:r w:rsidRPr="006627B4">
        <w:rPr>
          <w:b/>
        </w:rPr>
        <w:t>Use of the Coat of Arms</w:t>
      </w:r>
    </w:p>
    <w:p w14:paraId="4FF1A256" w14:textId="77777777" w:rsidR="00814074" w:rsidRPr="006627B4" w:rsidRDefault="00814074" w:rsidP="00814074">
      <w:r w:rsidRPr="004A7BC2">
        <w:t>The terms under which the Coat of Arms can be used are set out</w:t>
      </w:r>
      <w:r>
        <w:t xml:space="preserve"> on the Department of the Prime </w:t>
      </w:r>
      <w:r w:rsidRPr="004A7BC2">
        <w:t xml:space="preserve">Minister and Cabinet website (see </w:t>
      </w:r>
      <w:hyperlink r:id="rId18" w:history="1">
        <w:r>
          <w:rPr>
            <w:rStyle w:val="Hyperlink"/>
          </w:rPr>
          <w:t>https://www.pmc.gov.au/honours-and-symbols/commonwealth-coat-arms</w:t>
        </w:r>
      </w:hyperlink>
      <w:r w:rsidRPr="004A7BC2">
        <w:t>s).</w:t>
      </w:r>
    </w:p>
    <w:p w14:paraId="03EDA8FE" w14:textId="77777777" w:rsidR="00814074" w:rsidRPr="006627B4" w:rsidRDefault="00814074" w:rsidP="00814074">
      <w:pPr>
        <w:rPr>
          <w:b/>
        </w:rPr>
      </w:pPr>
      <w:r>
        <w:rPr>
          <w:b/>
        </w:rPr>
        <w:t>Other u</w:t>
      </w:r>
      <w:r w:rsidRPr="006627B4">
        <w:rPr>
          <w:b/>
        </w:rPr>
        <w:t>ses</w:t>
      </w:r>
    </w:p>
    <w:p w14:paraId="4F78D364" w14:textId="77777777" w:rsidR="00814074" w:rsidRPr="006627B4" w:rsidRDefault="00814074" w:rsidP="00814074">
      <w:r>
        <w:t>E</w:t>
      </w:r>
      <w:r w:rsidRPr="006627B4">
        <w:t>nquiries regarding this licence and any other use of this document are welcome at:</w:t>
      </w:r>
    </w:p>
    <w:p w14:paraId="6952893A" w14:textId="77777777" w:rsidR="00814074" w:rsidRDefault="00814074" w:rsidP="00814074">
      <w:pPr>
        <w:ind w:left="720"/>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Pr="000951A5">
          <w:rPr>
            <w:rStyle w:val="Hyperlink"/>
          </w:rPr>
          <w:t>media@treasury.gov.au</w:t>
        </w:r>
      </w:hyperlink>
      <w:r>
        <w:t xml:space="preserve"> </w:t>
      </w:r>
    </w:p>
    <w:p w14:paraId="1E677779" w14:textId="77777777" w:rsidR="00814074" w:rsidRPr="002F1BC2" w:rsidRDefault="00814074" w:rsidP="00814074">
      <w:pPr>
        <w:rPr>
          <w:rStyle w:val="Hyperlink"/>
        </w:rPr>
      </w:pPr>
      <w:r w:rsidRPr="002437D1">
        <w:rPr>
          <w:i/>
          <w:iCs/>
        </w:rPr>
        <w:t xml:space="preserve">In the spirit of reconciliation, the Treasury acknowledges the Traditional Custodians of country throughout Australia and their connections to land, </w:t>
      </w:r>
      <w:proofErr w:type="gramStart"/>
      <w:r w:rsidRPr="002437D1">
        <w:rPr>
          <w:i/>
          <w:iCs/>
        </w:rPr>
        <w:t>sea</w:t>
      </w:r>
      <w:proofErr w:type="gramEnd"/>
      <w:r w:rsidRPr="002437D1">
        <w:rPr>
          <w:i/>
          <w:iCs/>
        </w:rPr>
        <w:t xml:space="preserve"> and community. We pay our respect to their Elders past and present and extend that respect to all Aboriginal and Torres Strait Islander </w:t>
      </w:r>
      <w:proofErr w:type="gramStart"/>
      <w:r w:rsidRPr="002437D1">
        <w:rPr>
          <w:i/>
          <w:iCs/>
        </w:rPr>
        <w:t>peoples</w:t>
      </w:r>
      <w:proofErr w:type="gramEnd"/>
    </w:p>
    <w:p w14:paraId="025F2B09" w14:textId="77777777" w:rsidR="00814074" w:rsidRDefault="00814074" w:rsidP="00814074">
      <w:pPr>
        <w:rPr>
          <w:rFonts w:asciiTheme="majorHAnsi" w:hAnsiTheme="majorHAnsi" w:cstheme="majorHAnsi"/>
          <w:b/>
          <w:bCs/>
          <w:sz w:val="56"/>
          <w:szCs w:val="56"/>
        </w:rPr>
      </w:pPr>
    </w:p>
    <w:p w14:paraId="1802B617" w14:textId="77777777" w:rsidR="00814074" w:rsidRPr="0036516D" w:rsidRDefault="00814074" w:rsidP="00814074">
      <w:pPr>
        <w:rPr>
          <w:rFonts w:asciiTheme="majorHAnsi" w:hAnsiTheme="majorHAnsi" w:cstheme="majorHAnsi"/>
          <w:b/>
          <w:bCs/>
          <w:sz w:val="16"/>
          <w:szCs w:val="16"/>
        </w:rPr>
      </w:pPr>
    </w:p>
    <w:p w14:paraId="3B103E37" w14:textId="77777777" w:rsidR="00814074" w:rsidRPr="006475E6" w:rsidRDefault="00814074" w:rsidP="00814074">
      <w:pPr>
        <w:rPr>
          <w:rFonts w:asciiTheme="majorHAnsi" w:hAnsiTheme="majorHAnsi" w:cstheme="majorHAnsi"/>
          <w:b/>
          <w:bCs/>
          <w:sz w:val="56"/>
          <w:szCs w:val="56"/>
        </w:rPr>
      </w:pPr>
      <w:r w:rsidRPr="006475E6">
        <w:rPr>
          <w:rFonts w:asciiTheme="majorHAnsi" w:hAnsiTheme="majorHAnsi" w:cstheme="majorHAnsi"/>
          <w:b/>
          <w:bCs/>
          <w:sz w:val="56"/>
          <w:szCs w:val="56"/>
        </w:rPr>
        <w:t>Contents</w:t>
      </w:r>
    </w:p>
    <w:p w14:paraId="4DBEC34F" w14:textId="7DD044E5" w:rsidR="00BA37EA" w:rsidRDefault="00814074">
      <w:pPr>
        <w:pStyle w:val="TOC1"/>
        <w:rPr>
          <w:rFonts w:eastAsiaTheme="minorEastAsia" w:cstheme="minorBidi"/>
          <w:b w:val="0"/>
          <w:color w:val="auto"/>
          <w:sz w:val="22"/>
        </w:rPr>
      </w:pPr>
      <w:r>
        <w:rPr>
          <w:color w:val="004A7F"/>
        </w:rPr>
        <w:fldChar w:fldCharType="begin"/>
      </w:r>
      <w:r w:rsidRPr="0025652F">
        <w:instrText xml:space="preserve"> TOC \o "1-3" \h \z \u </w:instrText>
      </w:r>
      <w:r>
        <w:rPr>
          <w:color w:val="004A7F"/>
        </w:rPr>
        <w:fldChar w:fldCharType="separate"/>
      </w:r>
      <w:hyperlink w:anchor="_Toc157700832" w:history="1">
        <w:r w:rsidR="00BA37EA" w:rsidRPr="00B1326E">
          <w:rPr>
            <w:rStyle w:val="Hyperlink"/>
          </w:rPr>
          <w:t>Consultation process</w:t>
        </w:r>
        <w:r w:rsidR="00BA37EA">
          <w:rPr>
            <w:webHidden/>
          </w:rPr>
          <w:tab/>
        </w:r>
        <w:r w:rsidR="00BA37EA">
          <w:rPr>
            <w:webHidden/>
          </w:rPr>
          <w:fldChar w:fldCharType="begin"/>
        </w:r>
        <w:r w:rsidR="00BA37EA">
          <w:rPr>
            <w:webHidden/>
          </w:rPr>
          <w:instrText xml:space="preserve"> PAGEREF _Toc157700832 \h </w:instrText>
        </w:r>
        <w:r w:rsidR="00BA37EA">
          <w:rPr>
            <w:webHidden/>
          </w:rPr>
        </w:r>
        <w:r w:rsidR="00BA37EA">
          <w:rPr>
            <w:webHidden/>
          </w:rPr>
          <w:fldChar w:fldCharType="separate"/>
        </w:r>
        <w:r w:rsidR="007712FF">
          <w:rPr>
            <w:webHidden/>
          </w:rPr>
          <w:t>1</w:t>
        </w:r>
        <w:r w:rsidR="00BA37EA">
          <w:rPr>
            <w:webHidden/>
          </w:rPr>
          <w:fldChar w:fldCharType="end"/>
        </w:r>
      </w:hyperlink>
    </w:p>
    <w:p w14:paraId="2A5788D0" w14:textId="2F8CEEBA" w:rsidR="00BA37EA" w:rsidRDefault="00523CEC">
      <w:pPr>
        <w:pStyle w:val="TOC2"/>
        <w:rPr>
          <w:rFonts w:eastAsiaTheme="minorEastAsia" w:cstheme="minorBidi"/>
          <w:color w:val="auto"/>
          <w:szCs w:val="22"/>
        </w:rPr>
      </w:pPr>
      <w:hyperlink w:anchor="_Toc157700833" w:history="1">
        <w:r w:rsidR="00BA37EA" w:rsidRPr="00B1326E">
          <w:rPr>
            <w:rStyle w:val="Hyperlink"/>
          </w:rPr>
          <w:t>Request for feedback</w:t>
        </w:r>
        <w:r w:rsidR="00BA37EA">
          <w:rPr>
            <w:webHidden/>
          </w:rPr>
          <w:tab/>
        </w:r>
        <w:r w:rsidR="00BA37EA">
          <w:rPr>
            <w:webHidden/>
          </w:rPr>
          <w:fldChar w:fldCharType="begin"/>
        </w:r>
        <w:r w:rsidR="00BA37EA">
          <w:rPr>
            <w:webHidden/>
          </w:rPr>
          <w:instrText xml:space="preserve"> PAGEREF _Toc157700833 \h </w:instrText>
        </w:r>
        <w:r w:rsidR="00BA37EA">
          <w:rPr>
            <w:webHidden/>
          </w:rPr>
        </w:r>
        <w:r w:rsidR="00BA37EA">
          <w:rPr>
            <w:webHidden/>
          </w:rPr>
          <w:fldChar w:fldCharType="separate"/>
        </w:r>
        <w:r w:rsidR="007712FF">
          <w:rPr>
            <w:webHidden/>
          </w:rPr>
          <w:t>1</w:t>
        </w:r>
        <w:r w:rsidR="00BA37EA">
          <w:rPr>
            <w:webHidden/>
          </w:rPr>
          <w:fldChar w:fldCharType="end"/>
        </w:r>
      </w:hyperlink>
    </w:p>
    <w:p w14:paraId="7B28689A" w14:textId="5FC2DC41" w:rsidR="00BA37EA" w:rsidRDefault="00523CEC">
      <w:pPr>
        <w:pStyle w:val="TOC1"/>
        <w:rPr>
          <w:rFonts w:eastAsiaTheme="minorEastAsia" w:cstheme="minorBidi"/>
          <w:b w:val="0"/>
          <w:color w:val="auto"/>
          <w:sz w:val="22"/>
        </w:rPr>
      </w:pPr>
      <w:hyperlink w:anchor="_Toc157700834" w:history="1">
        <w:r w:rsidR="00BA37EA" w:rsidRPr="00B1326E">
          <w:rPr>
            <w:rStyle w:val="Hyperlink"/>
          </w:rPr>
          <w:t>Foreword from Dr Craig Emerson</w:t>
        </w:r>
        <w:r w:rsidR="00BA37EA">
          <w:rPr>
            <w:webHidden/>
          </w:rPr>
          <w:tab/>
        </w:r>
        <w:r w:rsidR="00BA37EA">
          <w:rPr>
            <w:webHidden/>
          </w:rPr>
          <w:fldChar w:fldCharType="begin"/>
        </w:r>
        <w:r w:rsidR="00BA37EA">
          <w:rPr>
            <w:webHidden/>
          </w:rPr>
          <w:instrText xml:space="preserve"> PAGEREF _Toc157700834 \h </w:instrText>
        </w:r>
        <w:r w:rsidR="00BA37EA">
          <w:rPr>
            <w:webHidden/>
          </w:rPr>
        </w:r>
        <w:r w:rsidR="00BA37EA">
          <w:rPr>
            <w:webHidden/>
          </w:rPr>
          <w:fldChar w:fldCharType="separate"/>
        </w:r>
        <w:r w:rsidR="007712FF">
          <w:rPr>
            <w:webHidden/>
          </w:rPr>
          <w:t>2</w:t>
        </w:r>
        <w:r w:rsidR="00BA37EA">
          <w:rPr>
            <w:webHidden/>
          </w:rPr>
          <w:fldChar w:fldCharType="end"/>
        </w:r>
      </w:hyperlink>
    </w:p>
    <w:p w14:paraId="5841E25E" w14:textId="6AA7BA99" w:rsidR="00BA37EA" w:rsidRDefault="00523CEC">
      <w:pPr>
        <w:pStyle w:val="TOC1"/>
        <w:rPr>
          <w:rFonts w:eastAsiaTheme="minorEastAsia" w:cstheme="minorBidi"/>
          <w:b w:val="0"/>
          <w:color w:val="auto"/>
          <w:sz w:val="22"/>
        </w:rPr>
      </w:pPr>
      <w:hyperlink w:anchor="_Toc157700835" w:history="1">
        <w:r w:rsidR="00BA37EA" w:rsidRPr="00B1326E">
          <w:rPr>
            <w:rStyle w:val="Hyperlink"/>
          </w:rPr>
          <w:t>Review of the Food and Grocery Code of Conduct</w:t>
        </w:r>
        <w:r w:rsidR="00BA37EA">
          <w:rPr>
            <w:webHidden/>
          </w:rPr>
          <w:tab/>
        </w:r>
        <w:r w:rsidR="00BA37EA">
          <w:rPr>
            <w:webHidden/>
          </w:rPr>
          <w:fldChar w:fldCharType="begin"/>
        </w:r>
        <w:r w:rsidR="00BA37EA">
          <w:rPr>
            <w:webHidden/>
          </w:rPr>
          <w:instrText xml:space="preserve"> PAGEREF _Toc157700835 \h </w:instrText>
        </w:r>
        <w:r w:rsidR="00BA37EA">
          <w:rPr>
            <w:webHidden/>
          </w:rPr>
        </w:r>
        <w:r w:rsidR="00BA37EA">
          <w:rPr>
            <w:webHidden/>
          </w:rPr>
          <w:fldChar w:fldCharType="separate"/>
        </w:r>
        <w:r w:rsidR="007712FF">
          <w:rPr>
            <w:webHidden/>
          </w:rPr>
          <w:t>4</w:t>
        </w:r>
        <w:r w:rsidR="00BA37EA">
          <w:rPr>
            <w:webHidden/>
          </w:rPr>
          <w:fldChar w:fldCharType="end"/>
        </w:r>
      </w:hyperlink>
    </w:p>
    <w:p w14:paraId="729604E4" w14:textId="0F048CC4" w:rsidR="00BA37EA" w:rsidRDefault="00523CEC">
      <w:pPr>
        <w:pStyle w:val="TOC2"/>
        <w:rPr>
          <w:rFonts w:eastAsiaTheme="minorEastAsia" w:cstheme="minorBidi"/>
          <w:color w:val="auto"/>
          <w:szCs w:val="22"/>
        </w:rPr>
      </w:pPr>
      <w:hyperlink w:anchor="_Toc157700836" w:history="1">
        <w:r w:rsidR="00BA37EA" w:rsidRPr="00B1326E">
          <w:rPr>
            <w:rStyle w:val="Hyperlink"/>
          </w:rPr>
          <w:t>Background to the Review</w:t>
        </w:r>
        <w:r w:rsidR="00BA37EA">
          <w:rPr>
            <w:webHidden/>
          </w:rPr>
          <w:tab/>
        </w:r>
        <w:r w:rsidR="00BA37EA">
          <w:rPr>
            <w:webHidden/>
          </w:rPr>
          <w:fldChar w:fldCharType="begin"/>
        </w:r>
        <w:r w:rsidR="00BA37EA">
          <w:rPr>
            <w:webHidden/>
          </w:rPr>
          <w:instrText xml:space="preserve"> PAGEREF _Toc157700836 \h </w:instrText>
        </w:r>
        <w:r w:rsidR="00BA37EA">
          <w:rPr>
            <w:webHidden/>
          </w:rPr>
        </w:r>
        <w:r w:rsidR="00BA37EA">
          <w:rPr>
            <w:webHidden/>
          </w:rPr>
          <w:fldChar w:fldCharType="separate"/>
        </w:r>
        <w:r w:rsidR="007712FF">
          <w:rPr>
            <w:webHidden/>
          </w:rPr>
          <w:t>4</w:t>
        </w:r>
        <w:r w:rsidR="00BA37EA">
          <w:rPr>
            <w:webHidden/>
          </w:rPr>
          <w:fldChar w:fldCharType="end"/>
        </w:r>
      </w:hyperlink>
    </w:p>
    <w:p w14:paraId="00468961" w14:textId="08E63977" w:rsidR="00BA37EA" w:rsidRDefault="00523CEC">
      <w:pPr>
        <w:pStyle w:val="TOC2"/>
        <w:rPr>
          <w:rFonts w:eastAsiaTheme="minorEastAsia" w:cstheme="minorBidi"/>
          <w:color w:val="auto"/>
          <w:szCs w:val="22"/>
        </w:rPr>
      </w:pPr>
      <w:hyperlink w:anchor="_Toc157700837" w:history="1">
        <w:r w:rsidR="00BA37EA" w:rsidRPr="00B1326E">
          <w:rPr>
            <w:rStyle w:val="Hyperlink"/>
          </w:rPr>
          <w:t>Terms of Reference</w:t>
        </w:r>
        <w:r w:rsidR="00BA37EA">
          <w:rPr>
            <w:webHidden/>
          </w:rPr>
          <w:tab/>
        </w:r>
        <w:r w:rsidR="00BA37EA">
          <w:rPr>
            <w:webHidden/>
          </w:rPr>
          <w:fldChar w:fldCharType="begin"/>
        </w:r>
        <w:r w:rsidR="00BA37EA">
          <w:rPr>
            <w:webHidden/>
          </w:rPr>
          <w:instrText xml:space="preserve"> PAGEREF _Toc157700837 \h </w:instrText>
        </w:r>
        <w:r w:rsidR="00BA37EA">
          <w:rPr>
            <w:webHidden/>
          </w:rPr>
        </w:r>
        <w:r w:rsidR="00BA37EA">
          <w:rPr>
            <w:webHidden/>
          </w:rPr>
          <w:fldChar w:fldCharType="separate"/>
        </w:r>
        <w:r w:rsidR="007712FF">
          <w:rPr>
            <w:webHidden/>
          </w:rPr>
          <w:t>4</w:t>
        </w:r>
        <w:r w:rsidR="00BA37EA">
          <w:rPr>
            <w:webHidden/>
          </w:rPr>
          <w:fldChar w:fldCharType="end"/>
        </w:r>
      </w:hyperlink>
    </w:p>
    <w:p w14:paraId="2D110D1B" w14:textId="1546F6A3" w:rsidR="00BA37EA" w:rsidRDefault="00523CEC">
      <w:pPr>
        <w:pStyle w:val="TOC1"/>
        <w:rPr>
          <w:rFonts w:eastAsiaTheme="minorEastAsia" w:cstheme="minorBidi"/>
          <w:b w:val="0"/>
          <w:color w:val="auto"/>
          <w:sz w:val="22"/>
        </w:rPr>
      </w:pPr>
      <w:hyperlink w:anchor="_Toc157700838" w:history="1">
        <w:r w:rsidR="00BA37EA" w:rsidRPr="00B1326E">
          <w:rPr>
            <w:rStyle w:val="Hyperlink"/>
          </w:rPr>
          <w:t>Overview of the Code</w:t>
        </w:r>
        <w:r w:rsidR="00BA37EA">
          <w:rPr>
            <w:webHidden/>
          </w:rPr>
          <w:tab/>
        </w:r>
        <w:r w:rsidR="00BA37EA">
          <w:rPr>
            <w:webHidden/>
          </w:rPr>
          <w:fldChar w:fldCharType="begin"/>
        </w:r>
        <w:r w:rsidR="00BA37EA">
          <w:rPr>
            <w:webHidden/>
          </w:rPr>
          <w:instrText xml:space="preserve"> PAGEREF _Toc157700838 \h </w:instrText>
        </w:r>
        <w:r w:rsidR="00BA37EA">
          <w:rPr>
            <w:webHidden/>
          </w:rPr>
        </w:r>
        <w:r w:rsidR="00BA37EA">
          <w:rPr>
            <w:webHidden/>
          </w:rPr>
          <w:fldChar w:fldCharType="separate"/>
        </w:r>
        <w:r w:rsidR="007712FF">
          <w:rPr>
            <w:webHidden/>
          </w:rPr>
          <w:t>5</w:t>
        </w:r>
        <w:r w:rsidR="00BA37EA">
          <w:rPr>
            <w:webHidden/>
          </w:rPr>
          <w:fldChar w:fldCharType="end"/>
        </w:r>
      </w:hyperlink>
    </w:p>
    <w:p w14:paraId="02308780" w14:textId="046E2562" w:rsidR="00BA37EA" w:rsidRDefault="00523CEC">
      <w:pPr>
        <w:pStyle w:val="TOC2"/>
        <w:rPr>
          <w:rFonts w:eastAsiaTheme="minorEastAsia" w:cstheme="minorBidi"/>
          <w:color w:val="auto"/>
          <w:szCs w:val="22"/>
        </w:rPr>
      </w:pPr>
      <w:hyperlink w:anchor="_Toc157700839" w:history="1">
        <w:r w:rsidR="00BA37EA" w:rsidRPr="00B1326E">
          <w:rPr>
            <w:rStyle w:val="Hyperlink"/>
          </w:rPr>
          <w:t>Purpose of the Code</w:t>
        </w:r>
        <w:r w:rsidR="00BA37EA">
          <w:rPr>
            <w:webHidden/>
          </w:rPr>
          <w:tab/>
        </w:r>
        <w:r w:rsidR="00BA37EA">
          <w:rPr>
            <w:webHidden/>
          </w:rPr>
          <w:fldChar w:fldCharType="begin"/>
        </w:r>
        <w:r w:rsidR="00BA37EA">
          <w:rPr>
            <w:webHidden/>
          </w:rPr>
          <w:instrText xml:space="preserve"> PAGEREF _Toc157700839 \h </w:instrText>
        </w:r>
        <w:r w:rsidR="00BA37EA">
          <w:rPr>
            <w:webHidden/>
          </w:rPr>
        </w:r>
        <w:r w:rsidR="00BA37EA">
          <w:rPr>
            <w:webHidden/>
          </w:rPr>
          <w:fldChar w:fldCharType="separate"/>
        </w:r>
        <w:r w:rsidR="007712FF">
          <w:rPr>
            <w:webHidden/>
          </w:rPr>
          <w:t>5</w:t>
        </w:r>
        <w:r w:rsidR="00BA37EA">
          <w:rPr>
            <w:webHidden/>
          </w:rPr>
          <w:fldChar w:fldCharType="end"/>
        </w:r>
      </w:hyperlink>
    </w:p>
    <w:p w14:paraId="1ACAEE54" w14:textId="6DB9095E" w:rsidR="00BA37EA" w:rsidRDefault="00523CEC">
      <w:pPr>
        <w:pStyle w:val="TOC2"/>
        <w:rPr>
          <w:rFonts w:eastAsiaTheme="minorEastAsia" w:cstheme="minorBidi"/>
          <w:color w:val="auto"/>
          <w:szCs w:val="22"/>
        </w:rPr>
      </w:pPr>
      <w:hyperlink w:anchor="_Toc157700840" w:history="1">
        <w:r w:rsidR="00BA37EA" w:rsidRPr="00B1326E">
          <w:rPr>
            <w:rStyle w:val="Hyperlink"/>
          </w:rPr>
          <w:t>Background to the Code</w:t>
        </w:r>
        <w:r w:rsidR="00BA37EA">
          <w:rPr>
            <w:webHidden/>
          </w:rPr>
          <w:tab/>
        </w:r>
        <w:r w:rsidR="00BA37EA">
          <w:rPr>
            <w:webHidden/>
          </w:rPr>
          <w:fldChar w:fldCharType="begin"/>
        </w:r>
        <w:r w:rsidR="00BA37EA">
          <w:rPr>
            <w:webHidden/>
          </w:rPr>
          <w:instrText xml:space="preserve"> PAGEREF _Toc157700840 \h </w:instrText>
        </w:r>
        <w:r w:rsidR="00BA37EA">
          <w:rPr>
            <w:webHidden/>
          </w:rPr>
        </w:r>
        <w:r w:rsidR="00BA37EA">
          <w:rPr>
            <w:webHidden/>
          </w:rPr>
          <w:fldChar w:fldCharType="separate"/>
        </w:r>
        <w:r w:rsidR="007712FF">
          <w:rPr>
            <w:webHidden/>
          </w:rPr>
          <w:t>6</w:t>
        </w:r>
        <w:r w:rsidR="00BA37EA">
          <w:rPr>
            <w:webHidden/>
          </w:rPr>
          <w:fldChar w:fldCharType="end"/>
        </w:r>
      </w:hyperlink>
    </w:p>
    <w:p w14:paraId="7625C22A" w14:textId="0F69E6C1" w:rsidR="00BA37EA" w:rsidRDefault="00523CEC">
      <w:pPr>
        <w:pStyle w:val="TOC2"/>
        <w:rPr>
          <w:rFonts w:eastAsiaTheme="minorEastAsia" w:cstheme="minorBidi"/>
          <w:color w:val="auto"/>
          <w:szCs w:val="22"/>
        </w:rPr>
      </w:pPr>
      <w:hyperlink w:anchor="_Toc157700841" w:history="1">
        <w:r w:rsidR="00BA37EA" w:rsidRPr="00B1326E">
          <w:rPr>
            <w:rStyle w:val="Hyperlink"/>
          </w:rPr>
          <w:t>Stakeholder views on the Code</w:t>
        </w:r>
        <w:r w:rsidR="00BA37EA">
          <w:rPr>
            <w:webHidden/>
          </w:rPr>
          <w:tab/>
        </w:r>
        <w:r w:rsidR="00BA37EA">
          <w:rPr>
            <w:webHidden/>
          </w:rPr>
          <w:fldChar w:fldCharType="begin"/>
        </w:r>
        <w:r w:rsidR="00BA37EA">
          <w:rPr>
            <w:webHidden/>
          </w:rPr>
          <w:instrText xml:space="preserve"> PAGEREF _Toc157700841 \h </w:instrText>
        </w:r>
        <w:r w:rsidR="00BA37EA">
          <w:rPr>
            <w:webHidden/>
          </w:rPr>
        </w:r>
        <w:r w:rsidR="00BA37EA">
          <w:rPr>
            <w:webHidden/>
          </w:rPr>
          <w:fldChar w:fldCharType="separate"/>
        </w:r>
        <w:r w:rsidR="007712FF">
          <w:rPr>
            <w:webHidden/>
          </w:rPr>
          <w:t>7</w:t>
        </w:r>
        <w:r w:rsidR="00BA37EA">
          <w:rPr>
            <w:webHidden/>
          </w:rPr>
          <w:fldChar w:fldCharType="end"/>
        </w:r>
      </w:hyperlink>
    </w:p>
    <w:p w14:paraId="2196B833" w14:textId="0E4FEAE7" w:rsidR="00BA37EA" w:rsidRDefault="00523CEC">
      <w:pPr>
        <w:pStyle w:val="TOC2"/>
        <w:rPr>
          <w:rFonts w:eastAsiaTheme="minorEastAsia" w:cstheme="minorBidi"/>
          <w:color w:val="auto"/>
          <w:szCs w:val="22"/>
        </w:rPr>
      </w:pPr>
      <w:hyperlink w:anchor="_Toc157700842" w:history="1">
        <w:r w:rsidR="00BA37EA" w:rsidRPr="00B1326E">
          <w:rPr>
            <w:rStyle w:val="Hyperlink"/>
          </w:rPr>
          <w:t>Operation of the Code</w:t>
        </w:r>
        <w:r w:rsidR="00BA37EA">
          <w:rPr>
            <w:webHidden/>
          </w:rPr>
          <w:tab/>
        </w:r>
        <w:r w:rsidR="00BA37EA">
          <w:rPr>
            <w:webHidden/>
          </w:rPr>
          <w:fldChar w:fldCharType="begin"/>
        </w:r>
        <w:r w:rsidR="00BA37EA">
          <w:rPr>
            <w:webHidden/>
          </w:rPr>
          <w:instrText xml:space="preserve"> PAGEREF _Toc157700842 \h </w:instrText>
        </w:r>
        <w:r w:rsidR="00BA37EA">
          <w:rPr>
            <w:webHidden/>
          </w:rPr>
        </w:r>
        <w:r w:rsidR="00BA37EA">
          <w:rPr>
            <w:webHidden/>
          </w:rPr>
          <w:fldChar w:fldCharType="separate"/>
        </w:r>
        <w:r w:rsidR="007712FF">
          <w:rPr>
            <w:webHidden/>
          </w:rPr>
          <w:t>8</w:t>
        </w:r>
        <w:r w:rsidR="00BA37EA">
          <w:rPr>
            <w:webHidden/>
          </w:rPr>
          <w:fldChar w:fldCharType="end"/>
        </w:r>
      </w:hyperlink>
    </w:p>
    <w:p w14:paraId="2E254895" w14:textId="75356DEA" w:rsidR="00BA37EA" w:rsidRDefault="00523CEC">
      <w:pPr>
        <w:pStyle w:val="TOC3"/>
        <w:rPr>
          <w:rFonts w:eastAsiaTheme="minorEastAsia" w:cstheme="minorBidi"/>
          <w:color w:val="auto"/>
          <w:szCs w:val="22"/>
        </w:rPr>
      </w:pPr>
      <w:hyperlink w:anchor="_Toc157700843" w:history="1">
        <w:r w:rsidR="00BA37EA" w:rsidRPr="00B1326E">
          <w:rPr>
            <w:rStyle w:val="Hyperlink"/>
          </w:rPr>
          <w:t>Scope and application</w:t>
        </w:r>
        <w:r w:rsidR="00BA37EA">
          <w:rPr>
            <w:webHidden/>
          </w:rPr>
          <w:tab/>
        </w:r>
        <w:r w:rsidR="00BA37EA">
          <w:rPr>
            <w:webHidden/>
          </w:rPr>
          <w:fldChar w:fldCharType="begin"/>
        </w:r>
        <w:r w:rsidR="00BA37EA">
          <w:rPr>
            <w:webHidden/>
          </w:rPr>
          <w:instrText xml:space="preserve"> PAGEREF _Toc157700843 \h </w:instrText>
        </w:r>
        <w:r w:rsidR="00BA37EA">
          <w:rPr>
            <w:webHidden/>
          </w:rPr>
        </w:r>
        <w:r w:rsidR="00BA37EA">
          <w:rPr>
            <w:webHidden/>
          </w:rPr>
          <w:fldChar w:fldCharType="separate"/>
        </w:r>
        <w:r w:rsidR="007712FF">
          <w:rPr>
            <w:webHidden/>
          </w:rPr>
          <w:t>8</w:t>
        </w:r>
        <w:r w:rsidR="00BA37EA">
          <w:rPr>
            <w:webHidden/>
          </w:rPr>
          <w:fldChar w:fldCharType="end"/>
        </w:r>
      </w:hyperlink>
    </w:p>
    <w:p w14:paraId="675E3D9D" w14:textId="6332B97D" w:rsidR="00BA37EA" w:rsidRDefault="00523CEC">
      <w:pPr>
        <w:pStyle w:val="TOC3"/>
        <w:rPr>
          <w:rFonts w:eastAsiaTheme="minorEastAsia" w:cstheme="minorBidi"/>
          <w:color w:val="auto"/>
          <w:szCs w:val="22"/>
        </w:rPr>
      </w:pPr>
      <w:hyperlink w:anchor="_Toc157700844" w:history="1">
        <w:r w:rsidR="00BA37EA" w:rsidRPr="00B1326E">
          <w:rPr>
            <w:rStyle w:val="Hyperlink"/>
          </w:rPr>
          <w:t>Code provisions</w:t>
        </w:r>
        <w:r w:rsidR="00BA37EA">
          <w:rPr>
            <w:webHidden/>
          </w:rPr>
          <w:tab/>
        </w:r>
        <w:r w:rsidR="00BA37EA">
          <w:rPr>
            <w:webHidden/>
          </w:rPr>
          <w:fldChar w:fldCharType="begin"/>
        </w:r>
        <w:r w:rsidR="00BA37EA">
          <w:rPr>
            <w:webHidden/>
          </w:rPr>
          <w:instrText xml:space="preserve"> PAGEREF _Toc157700844 \h </w:instrText>
        </w:r>
        <w:r w:rsidR="00BA37EA">
          <w:rPr>
            <w:webHidden/>
          </w:rPr>
        </w:r>
        <w:r w:rsidR="00BA37EA">
          <w:rPr>
            <w:webHidden/>
          </w:rPr>
          <w:fldChar w:fldCharType="separate"/>
        </w:r>
        <w:r w:rsidR="007712FF">
          <w:rPr>
            <w:webHidden/>
          </w:rPr>
          <w:t>9</w:t>
        </w:r>
        <w:r w:rsidR="00BA37EA">
          <w:rPr>
            <w:webHidden/>
          </w:rPr>
          <w:fldChar w:fldCharType="end"/>
        </w:r>
      </w:hyperlink>
    </w:p>
    <w:p w14:paraId="256EA6CC" w14:textId="77C8A9E5" w:rsidR="00BA37EA" w:rsidRDefault="00523CEC">
      <w:pPr>
        <w:pStyle w:val="TOC2"/>
        <w:rPr>
          <w:rFonts w:eastAsiaTheme="minorEastAsia" w:cstheme="minorBidi"/>
          <w:color w:val="auto"/>
          <w:szCs w:val="22"/>
        </w:rPr>
      </w:pPr>
      <w:hyperlink w:anchor="_Toc157700845" w:history="1">
        <w:r w:rsidR="00BA37EA" w:rsidRPr="00B1326E">
          <w:rPr>
            <w:rStyle w:val="Hyperlink"/>
          </w:rPr>
          <w:t>International approaches</w:t>
        </w:r>
        <w:r w:rsidR="00BA37EA">
          <w:rPr>
            <w:webHidden/>
          </w:rPr>
          <w:tab/>
        </w:r>
        <w:r w:rsidR="00BA37EA">
          <w:rPr>
            <w:webHidden/>
          </w:rPr>
          <w:fldChar w:fldCharType="begin"/>
        </w:r>
        <w:r w:rsidR="00BA37EA">
          <w:rPr>
            <w:webHidden/>
          </w:rPr>
          <w:instrText xml:space="preserve"> PAGEREF _Toc157700845 \h </w:instrText>
        </w:r>
        <w:r w:rsidR="00BA37EA">
          <w:rPr>
            <w:webHidden/>
          </w:rPr>
        </w:r>
        <w:r w:rsidR="00BA37EA">
          <w:rPr>
            <w:webHidden/>
          </w:rPr>
          <w:fldChar w:fldCharType="separate"/>
        </w:r>
        <w:r w:rsidR="007712FF">
          <w:rPr>
            <w:webHidden/>
          </w:rPr>
          <w:t>11</w:t>
        </w:r>
        <w:r w:rsidR="00BA37EA">
          <w:rPr>
            <w:webHidden/>
          </w:rPr>
          <w:fldChar w:fldCharType="end"/>
        </w:r>
      </w:hyperlink>
    </w:p>
    <w:p w14:paraId="2101B621" w14:textId="2D3D1E25" w:rsidR="00BA37EA" w:rsidRDefault="00523CEC">
      <w:pPr>
        <w:pStyle w:val="TOC1"/>
        <w:rPr>
          <w:rFonts w:eastAsiaTheme="minorEastAsia" w:cstheme="minorBidi"/>
          <w:b w:val="0"/>
          <w:color w:val="auto"/>
          <w:sz w:val="22"/>
        </w:rPr>
      </w:pPr>
      <w:hyperlink w:anchor="_Toc157700846" w:history="1">
        <w:r w:rsidR="00BA37EA" w:rsidRPr="00B1326E">
          <w:rPr>
            <w:rStyle w:val="Hyperlink"/>
          </w:rPr>
          <w:t>Food and Grocery Code: voluntary or mandatory?</w:t>
        </w:r>
        <w:r w:rsidR="00BA37EA">
          <w:rPr>
            <w:webHidden/>
          </w:rPr>
          <w:tab/>
        </w:r>
        <w:r w:rsidR="00BA37EA">
          <w:rPr>
            <w:webHidden/>
          </w:rPr>
          <w:fldChar w:fldCharType="begin"/>
        </w:r>
        <w:r w:rsidR="00BA37EA">
          <w:rPr>
            <w:webHidden/>
          </w:rPr>
          <w:instrText xml:space="preserve"> PAGEREF _Toc157700846 \h </w:instrText>
        </w:r>
        <w:r w:rsidR="00BA37EA">
          <w:rPr>
            <w:webHidden/>
          </w:rPr>
        </w:r>
        <w:r w:rsidR="00BA37EA">
          <w:rPr>
            <w:webHidden/>
          </w:rPr>
          <w:fldChar w:fldCharType="separate"/>
        </w:r>
        <w:r w:rsidR="007712FF">
          <w:rPr>
            <w:webHidden/>
          </w:rPr>
          <w:t>12</w:t>
        </w:r>
        <w:r w:rsidR="00BA37EA">
          <w:rPr>
            <w:webHidden/>
          </w:rPr>
          <w:fldChar w:fldCharType="end"/>
        </w:r>
      </w:hyperlink>
    </w:p>
    <w:p w14:paraId="59B4D78B" w14:textId="479276F0" w:rsidR="00BA37EA" w:rsidRDefault="00523CEC">
      <w:pPr>
        <w:pStyle w:val="TOC2"/>
        <w:rPr>
          <w:rFonts w:eastAsiaTheme="minorEastAsia" w:cstheme="minorBidi"/>
          <w:color w:val="auto"/>
          <w:szCs w:val="22"/>
        </w:rPr>
      </w:pPr>
      <w:hyperlink w:anchor="_Toc157700847" w:history="1">
        <w:r w:rsidR="00BA37EA" w:rsidRPr="00B1326E">
          <w:rPr>
            <w:rStyle w:val="Hyperlink"/>
          </w:rPr>
          <w:t>Key issues</w:t>
        </w:r>
        <w:r w:rsidR="00BA37EA">
          <w:rPr>
            <w:webHidden/>
          </w:rPr>
          <w:tab/>
        </w:r>
        <w:r w:rsidR="00BA37EA">
          <w:rPr>
            <w:webHidden/>
          </w:rPr>
          <w:fldChar w:fldCharType="begin"/>
        </w:r>
        <w:r w:rsidR="00BA37EA">
          <w:rPr>
            <w:webHidden/>
          </w:rPr>
          <w:instrText xml:space="preserve"> PAGEREF _Toc157700847 \h </w:instrText>
        </w:r>
        <w:r w:rsidR="00BA37EA">
          <w:rPr>
            <w:webHidden/>
          </w:rPr>
        </w:r>
        <w:r w:rsidR="00BA37EA">
          <w:rPr>
            <w:webHidden/>
          </w:rPr>
          <w:fldChar w:fldCharType="separate"/>
        </w:r>
        <w:r w:rsidR="007712FF">
          <w:rPr>
            <w:webHidden/>
          </w:rPr>
          <w:t>12</w:t>
        </w:r>
        <w:r w:rsidR="00BA37EA">
          <w:rPr>
            <w:webHidden/>
          </w:rPr>
          <w:fldChar w:fldCharType="end"/>
        </w:r>
      </w:hyperlink>
    </w:p>
    <w:p w14:paraId="09BDDB3F" w14:textId="048F96BD" w:rsidR="00BA37EA" w:rsidRDefault="00523CEC">
      <w:pPr>
        <w:pStyle w:val="TOC3"/>
        <w:rPr>
          <w:rFonts w:eastAsiaTheme="minorEastAsia" w:cstheme="minorBidi"/>
          <w:color w:val="auto"/>
          <w:szCs w:val="22"/>
        </w:rPr>
      </w:pPr>
      <w:hyperlink w:anchor="_Toc157700848" w:history="1">
        <w:r w:rsidR="00BA37EA" w:rsidRPr="00B1326E">
          <w:rPr>
            <w:rStyle w:val="Hyperlink"/>
          </w:rPr>
          <w:t>Would a mandatory code create a fairer environment for suppliers?</w:t>
        </w:r>
        <w:r w:rsidR="00BA37EA">
          <w:rPr>
            <w:webHidden/>
          </w:rPr>
          <w:tab/>
        </w:r>
        <w:r w:rsidR="00BA37EA">
          <w:rPr>
            <w:webHidden/>
          </w:rPr>
          <w:fldChar w:fldCharType="begin"/>
        </w:r>
        <w:r w:rsidR="00BA37EA">
          <w:rPr>
            <w:webHidden/>
          </w:rPr>
          <w:instrText xml:space="preserve"> PAGEREF _Toc157700848 \h </w:instrText>
        </w:r>
        <w:r w:rsidR="00BA37EA">
          <w:rPr>
            <w:webHidden/>
          </w:rPr>
        </w:r>
        <w:r w:rsidR="00BA37EA">
          <w:rPr>
            <w:webHidden/>
          </w:rPr>
          <w:fldChar w:fldCharType="separate"/>
        </w:r>
        <w:r w:rsidR="007712FF">
          <w:rPr>
            <w:webHidden/>
          </w:rPr>
          <w:t>12</w:t>
        </w:r>
        <w:r w:rsidR="00BA37EA">
          <w:rPr>
            <w:webHidden/>
          </w:rPr>
          <w:fldChar w:fldCharType="end"/>
        </w:r>
      </w:hyperlink>
    </w:p>
    <w:p w14:paraId="5390BB01" w14:textId="746C235F" w:rsidR="00BA37EA" w:rsidRDefault="00523CEC">
      <w:pPr>
        <w:pStyle w:val="TOC3"/>
        <w:rPr>
          <w:rFonts w:eastAsiaTheme="minorEastAsia" w:cstheme="minorBidi"/>
          <w:color w:val="auto"/>
          <w:szCs w:val="22"/>
        </w:rPr>
      </w:pPr>
      <w:hyperlink w:anchor="_Toc157700849" w:history="1">
        <w:r w:rsidR="00BA37EA" w:rsidRPr="00B1326E">
          <w:rPr>
            <w:rStyle w:val="Hyperlink"/>
          </w:rPr>
          <w:t>Market power and suppliers’ fear of retributive action</w:t>
        </w:r>
        <w:r w:rsidR="00BA37EA">
          <w:rPr>
            <w:webHidden/>
          </w:rPr>
          <w:tab/>
        </w:r>
        <w:r w:rsidR="00BA37EA">
          <w:rPr>
            <w:webHidden/>
          </w:rPr>
          <w:fldChar w:fldCharType="begin"/>
        </w:r>
        <w:r w:rsidR="00BA37EA">
          <w:rPr>
            <w:webHidden/>
          </w:rPr>
          <w:instrText xml:space="preserve"> PAGEREF _Toc157700849 \h </w:instrText>
        </w:r>
        <w:r w:rsidR="00BA37EA">
          <w:rPr>
            <w:webHidden/>
          </w:rPr>
        </w:r>
        <w:r w:rsidR="00BA37EA">
          <w:rPr>
            <w:webHidden/>
          </w:rPr>
          <w:fldChar w:fldCharType="separate"/>
        </w:r>
        <w:r w:rsidR="007712FF">
          <w:rPr>
            <w:webHidden/>
          </w:rPr>
          <w:t>15</w:t>
        </w:r>
        <w:r w:rsidR="00BA37EA">
          <w:rPr>
            <w:webHidden/>
          </w:rPr>
          <w:fldChar w:fldCharType="end"/>
        </w:r>
      </w:hyperlink>
    </w:p>
    <w:p w14:paraId="7262FB43" w14:textId="22D5CC86" w:rsidR="00BA37EA" w:rsidRDefault="00523CEC">
      <w:pPr>
        <w:pStyle w:val="TOC3"/>
        <w:rPr>
          <w:rFonts w:eastAsiaTheme="minorEastAsia" w:cstheme="minorBidi"/>
          <w:color w:val="auto"/>
          <w:szCs w:val="22"/>
        </w:rPr>
      </w:pPr>
      <w:hyperlink w:anchor="_Toc157700850" w:history="1">
        <w:r w:rsidR="00BA37EA" w:rsidRPr="00B1326E">
          <w:rPr>
            <w:rStyle w:val="Hyperlink"/>
          </w:rPr>
          <w:t>Compliance penalties</w:t>
        </w:r>
        <w:r w:rsidR="00BA37EA">
          <w:rPr>
            <w:webHidden/>
          </w:rPr>
          <w:tab/>
        </w:r>
        <w:r w:rsidR="00BA37EA">
          <w:rPr>
            <w:webHidden/>
          </w:rPr>
          <w:fldChar w:fldCharType="begin"/>
        </w:r>
        <w:r w:rsidR="00BA37EA">
          <w:rPr>
            <w:webHidden/>
          </w:rPr>
          <w:instrText xml:space="preserve"> PAGEREF _Toc157700850 \h </w:instrText>
        </w:r>
        <w:r w:rsidR="00BA37EA">
          <w:rPr>
            <w:webHidden/>
          </w:rPr>
        </w:r>
        <w:r w:rsidR="00BA37EA">
          <w:rPr>
            <w:webHidden/>
          </w:rPr>
          <w:fldChar w:fldCharType="separate"/>
        </w:r>
        <w:r w:rsidR="007712FF">
          <w:rPr>
            <w:webHidden/>
          </w:rPr>
          <w:t>19</w:t>
        </w:r>
        <w:r w:rsidR="00BA37EA">
          <w:rPr>
            <w:webHidden/>
          </w:rPr>
          <w:fldChar w:fldCharType="end"/>
        </w:r>
      </w:hyperlink>
    </w:p>
    <w:p w14:paraId="5A4E3ABD" w14:textId="6D4EE520" w:rsidR="00BA37EA" w:rsidRDefault="00523CEC">
      <w:pPr>
        <w:pStyle w:val="TOC1"/>
        <w:rPr>
          <w:rFonts w:eastAsiaTheme="minorEastAsia" w:cstheme="minorBidi"/>
          <w:b w:val="0"/>
          <w:color w:val="auto"/>
          <w:sz w:val="22"/>
        </w:rPr>
      </w:pPr>
      <w:hyperlink w:anchor="_Toc157700851" w:history="1">
        <w:r w:rsidR="00BA37EA" w:rsidRPr="00B1326E">
          <w:rPr>
            <w:rStyle w:val="Hyperlink"/>
          </w:rPr>
          <w:t>Complementary cost of living and grocery measures</w:t>
        </w:r>
        <w:r w:rsidR="00BA37EA">
          <w:rPr>
            <w:webHidden/>
          </w:rPr>
          <w:tab/>
        </w:r>
        <w:r w:rsidR="00BA37EA">
          <w:rPr>
            <w:webHidden/>
          </w:rPr>
          <w:fldChar w:fldCharType="begin"/>
        </w:r>
        <w:r w:rsidR="00BA37EA">
          <w:rPr>
            <w:webHidden/>
          </w:rPr>
          <w:instrText xml:space="preserve"> PAGEREF _Toc157700851 \h </w:instrText>
        </w:r>
        <w:r w:rsidR="00BA37EA">
          <w:rPr>
            <w:webHidden/>
          </w:rPr>
        </w:r>
        <w:r w:rsidR="00BA37EA">
          <w:rPr>
            <w:webHidden/>
          </w:rPr>
          <w:fldChar w:fldCharType="separate"/>
        </w:r>
        <w:r w:rsidR="007712FF">
          <w:rPr>
            <w:webHidden/>
          </w:rPr>
          <w:t>21</w:t>
        </w:r>
        <w:r w:rsidR="00BA37EA">
          <w:rPr>
            <w:webHidden/>
          </w:rPr>
          <w:fldChar w:fldCharType="end"/>
        </w:r>
      </w:hyperlink>
    </w:p>
    <w:p w14:paraId="0630592D" w14:textId="45BF0A93" w:rsidR="00BA37EA" w:rsidRDefault="00523CEC">
      <w:pPr>
        <w:pStyle w:val="TOC3"/>
        <w:rPr>
          <w:rFonts w:eastAsiaTheme="minorEastAsia" w:cstheme="minorBidi"/>
          <w:color w:val="auto"/>
          <w:szCs w:val="22"/>
        </w:rPr>
      </w:pPr>
      <w:hyperlink w:anchor="_Toc157700852" w:history="1">
        <w:r w:rsidR="00BA37EA" w:rsidRPr="00B1326E">
          <w:rPr>
            <w:rStyle w:val="Hyperlink"/>
          </w:rPr>
          <w:t>ACCC price inquiry</w:t>
        </w:r>
        <w:r w:rsidR="00BA37EA">
          <w:rPr>
            <w:webHidden/>
          </w:rPr>
          <w:tab/>
        </w:r>
        <w:r w:rsidR="00BA37EA">
          <w:rPr>
            <w:webHidden/>
          </w:rPr>
          <w:fldChar w:fldCharType="begin"/>
        </w:r>
        <w:r w:rsidR="00BA37EA">
          <w:rPr>
            <w:webHidden/>
          </w:rPr>
          <w:instrText xml:space="preserve"> PAGEREF _Toc157700852 \h </w:instrText>
        </w:r>
        <w:r w:rsidR="00BA37EA">
          <w:rPr>
            <w:webHidden/>
          </w:rPr>
        </w:r>
        <w:r w:rsidR="00BA37EA">
          <w:rPr>
            <w:webHidden/>
          </w:rPr>
          <w:fldChar w:fldCharType="separate"/>
        </w:r>
        <w:r w:rsidR="007712FF">
          <w:rPr>
            <w:webHidden/>
          </w:rPr>
          <w:t>21</w:t>
        </w:r>
        <w:r w:rsidR="00BA37EA">
          <w:rPr>
            <w:webHidden/>
          </w:rPr>
          <w:fldChar w:fldCharType="end"/>
        </w:r>
      </w:hyperlink>
    </w:p>
    <w:p w14:paraId="07D9D823" w14:textId="28181E05" w:rsidR="00BA37EA" w:rsidRDefault="00523CEC">
      <w:pPr>
        <w:pStyle w:val="TOC3"/>
        <w:rPr>
          <w:rFonts w:eastAsiaTheme="minorEastAsia" w:cstheme="minorBidi"/>
          <w:color w:val="auto"/>
          <w:szCs w:val="22"/>
        </w:rPr>
      </w:pPr>
      <w:hyperlink w:anchor="_Toc157700853" w:history="1">
        <w:r w:rsidR="00BA37EA" w:rsidRPr="00B1326E">
          <w:rPr>
            <w:rStyle w:val="Hyperlink"/>
          </w:rPr>
          <w:t>CHOICE price monitoring</w:t>
        </w:r>
        <w:r w:rsidR="00BA37EA">
          <w:rPr>
            <w:webHidden/>
          </w:rPr>
          <w:tab/>
        </w:r>
        <w:r w:rsidR="00BA37EA">
          <w:rPr>
            <w:webHidden/>
          </w:rPr>
          <w:fldChar w:fldCharType="begin"/>
        </w:r>
        <w:r w:rsidR="00BA37EA">
          <w:rPr>
            <w:webHidden/>
          </w:rPr>
          <w:instrText xml:space="preserve"> PAGEREF _Toc157700853 \h </w:instrText>
        </w:r>
        <w:r w:rsidR="00BA37EA">
          <w:rPr>
            <w:webHidden/>
          </w:rPr>
        </w:r>
        <w:r w:rsidR="00BA37EA">
          <w:rPr>
            <w:webHidden/>
          </w:rPr>
          <w:fldChar w:fldCharType="separate"/>
        </w:r>
        <w:r w:rsidR="007712FF">
          <w:rPr>
            <w:webHidden/>
          </w:rPr>
          <w:t>21</w:t>
        </w:r>
        <w:r w:rsidR="00BA37EA">
          <w:rPr>
            <w:webHidden/>
          </w:rPr>
          <w:fldChar w:fldCharType="end"/>
        </w:r>
      </w:hyperlink>
    </w:p>
    <w:p w14:paraId="4B456073" w14:textId="25DEEEE4" w:rsidR="00BA37EA" w:rsidRDefault="00523CEC">
      <w:pPr>
        <w:pStyle w:val="TOC3"/>
        <w:rPr>
          <w:rFonts w:eastAsiaTheme="minorEastAsia" w:cstheme="minorBidi"/>
          <w:color w:val="auto"/>
          <w:szCs w:val="22"/>
        </w:rPr>
      </w:pPr>
      <w:hyperlink w:anchor="_Toc157700854" w:history="1">
        <w:r w:rsidR="00BA37EA" w:rsidRPr="00B1326E">
          <w:rPr>
            <w:rStyle w:val="Hyperlink"/>
          </w:rPr>
          <w:t>Senate Select Committee on Cost of Living</w:t>
        </w:r>
        <w:r w:rsidR="00BA37EA">
          <w:rPr>
            <w:webHidden/>
          </w:rPr>
          <w:tab/>
        </w:r>
        <w:r w:rsidR="00BA37EA">
          <w:rPr>
            <w:webHidden/>
          </w:rPr>
          <w:fldChar w:fldCharType="begin"/>
        </w:r>
        <w:r w:rsidR="00BA37EA">
          <w:rPr>
            <w:webHidden/>
          </w:rPr>
          <w:instrText xml:space="preserve"> PAGEREF _Toc157700854 \h </w:instrText>
        </w:r>
        <w:r w:rsidR="00BA37EA">
          <w:rPr>
            <w:webHidden/>
          </w:rPr>
        </w:r>
        <w:r w:rsidR="00BA37EA">
          <w:rPr>
            <w:webHidden/>
          </w:rPr>
          <w:fldChar w:fldCharType="separate"/>
        </w:r>
        <w:r w:rsidR="007712FF">
          <w:rPr>
            <w:webHidden/>
          </w:rPr>
          <w:t>22</w:t>
        </w:r>
        <w:r w:rsidR="00BA37EA">
          <w:rPr>
            <w:webHidden/>
          </w:rPr>
          <w:fldChar w:fldCharType="end"/>
        </w:r>
      </w:hyperlink>
    </w:p>
    <w:p w14:paraId="3F91FC49" w14:textId="12E7AD68" w:rsidR="00BA37EA" w:rsidRDefault="00523CEC">
      <w:pPr>
        <w:pStyle w:val="TOC3"/>
        <w:rPr>
          <w:rFonts w:eastAsiaTheme="minorEastAsia" w:cstheme="minorBidi"/>
          <w:color w:val="auto"/>
          <w:szCs w:val="22"/>
        </w:rPr>
      </w:pPr>
      <w:hyperlink w:anchor="_Toc157700855" w:history="1">
        <w:r w:rsidR="00BA37EA" w:rsidRPr="00B1326E">
          <w:rPr>
            <w:rStyle w:val="Hyperlink"/>
          </w:rPr>
          <w:t>Senate Select Committee on Supermarket Prices</w:t>
        </w:r>
        <w:r w:rsidR="00BA37EA">
          <w:rPr>
            <w:webHidden/>
          </w:rPr>
          <w:tab/>
        </w:r>
        <w:r w:rsidR="00BA37EA">
          <w:rPr>
            <w:webHidden/>
          </w:rPr>
          <w:fldChar w:fldCharType="begin"/>
        </w:r>
        <w:r w:rsidR="00BA37EA">
          <w:rPr>
            <w:webHidden/>
          </w:rPr>
          <w:instrText xml:space="preserve"> PAGEREF _Toc157700855 \h </w:instrText>
        </w:r>
        <w:r w:rsidR="00BA37EA">
          <w:rPr>
            <w:webHidden/>
          </w:rPr>
        </w:r>
        <w:r w:rsidR="00BA37EA">
          <w:rPr>
            <w:webHidden/>
          </w:rPr>
          <w:fldChar w:fldCharType="separate"/>
        </w:r>
        <w:r w:rsidR="007712FF">
          <w:rPr>
            <w:webHidden/>
          </w:rPr>
          <w:t>22</w:t>
        </w:r>
        <w:r w:rsidR="00BA37EA">
          <w:rPr>
            <w:webHidden/>
          </w:rPr>
          <w:fldChar w:fldCharType="end"/>
        </w:r>
      </w:hyperlink>
    </w:p>
    <w:p w14:paraId="5E88548F" w14:textId="223ADA0D" w:rsidR="00BA37EA" w:rsidRDefault="00523CEC">
      <w:pPr>
        <w:pStyle w:val="TOC3"/>
        <w:rPr>
          <w:rFonts w:eastAsiaTheme="minorEastAsia" w:cstheme="minorBidi"/>
          <w:color w:val="auto"/>
          <w:szCs w:val="22"/>
        </w:rPr>
      </w:pPr>
      <w:hyperlink w:anchor="_Toc157700856" w:history="1">
        <w:r w:rsidR="00BA37EA" w:rsidRPr="00B1326E">
          <w:rPr>
            <w:rStyle w:val="Hyperlink"/>
          </w:rPr>
          <w:t>Anti-competitive planning and zoning laws</w:t>
        </w:r>
        <w:r w:rsidR="00BA37EA">
          <w:rPr>
            <w:webHidden/>
          </w:rPr>
          <w:tab/>
        </w:r>
        <w:r w:rsidR="00BA37EA">
          <w:rPr>
            <w:webHidden/>
          </w:rPr>
          <w:fldChar w:fldCharType="begin"/>
        </w:r>
        <w:r w:rsidR="00BA37EA">
          <w:rPr>
            <w:webHidden/>
          </w:rPr>
          <w:instrText xml:space="preserve"> PAGEREF _Toc157700856 \h </w:instrText>
        </w:r>
        <w:r w:rsidR="00BA37EA">
          <w:rPr>
            <w:webHidden/>
          </w:rPr>
        </w:r>
        <w:r w:rsidR="00BA37EA">
          <w:rPr>
            <w:webHidden/>
          </w:rPr>
          <w:fldChar w:fldCharType="separate"/>
        </w:r>
        <w:r w:rsidR="007712FF">
          <w:rPr>
            <w:webHidden/>
          </w:rPr>
          <w:t>22</w:t>
        </w:r>
        <w:r w:rsidR="00BA37EA">
          <w:rPr>
            <w:webHidden/>
          </w:rPr>
          <w:fldChar w:fldCharType="end"/>
        </w:r>
      </w:hyperlink>
    </w:p>
    <w:p w14:paraId="2F20DC33" w14:textId="2B3BFD94" w:rsidR="00BA37EA" w:rsidRDefault="00523CEC">
      <w:pPr>
        <w:pStyle w:val="TOC3"/>
        <w:rPr>
          <w:rFonts w:eastAsiaTheme="minorEastAsia" w:cstheme="minorBidi"/>
          <w:color w:val="auto"/>
          <w:szCs w:val="22"/>
        </w:rPr>
      </w:pPr>
      <w:hyperlink w:anchor="_Toc157700857" w:history="1">
        <w:r w:rsidR="00BA37EA" w:rsidRPr="00B1326E">
          <w:rPr>
            <w:rStyle w:val="Hyperlink"/>
          </w:rPr>
          <w:t>Competition Taskforce</w:t>
        </w:r>
        <w:r w:rsidR="00BA37EA">
          <w:rPr>
            <w:webHidden/>
          </w:rPr>
          <w:tab/>
        </w:r>
        <w:r w:rsidR="00BA37EA">
          <w:rPr>
            <w:webHidden/>
          </w:rPr>
          <w:fldChar w:fldCharType="begin"/>
        </w:r>
        <w:r w:rsidR="00BA37EA">
          <w:rPr>
            <w:webHidden/>
          </w:rPr>
          <w:instrText xml:space="preserve"> PAGEREF _Toc157700857 \h </w:instrText>
        </w:r>
        <w:r w:rsidR="00BA37EA">
          <w:rPr>
            <w:webHidden/>
          </w:rPr>
        </w:r>
        <w:r w:rsidR="00BA37EA">
          <w:rPr>
            <w:webHidden/>
          </w:rPr>
          <w:fldChar w:fldCharType="separate"/>
        </w:r>
        <w:r w:rsidR="007712FF">
          <w:rPr>
            <w:webHidden/>
          </w:rPr>
          <w:t>23</w:t>
        </w:r>
        <w:r w:rsidR="00BA37EA">
          <w:rPr>
            <w:webHidden/>
          </w:rPr>
          <w:fldChar w:fldCharType="end"/>
        </w:r>
      </w:hyperlink>
    </w:p>
    <w:p w14:paraId="1AAC59BC" w14:textId="26FAE3AC" w:rsidR="00BA37EA" w:rsidRDefault="00523CEC">
      <w:pPr>
        <w:pStyle w:val="TOC1"/>
        <w:rPr>
          <w:rFonts w:eastAsiaTheme="minorEastAsia" w:cstheme="minorBidi"/>
          <w:b w:val="0"/>
          <w:color w:val="auto"/>
          <w:sz w:val="22"/>
        </w:rPr>
      </w:pPr>
      <w:hyperlink w:anchor="_Toc157700858" w:history="1">
        <w:r w:rsidR="00BA37EA" w:rsidRPr="00B1326E">
          <w:rPr>
            <w:rStyle w:val="Hyperlink"/>
          </w:rPr>
          <w:t>Appendix A: Previous competition reforms</w:t>
        </w:r>
        <w:r w:rsidR="00BA37EA">
          <w:rPr>
            <w:webHidden/>
          </w:rPr>
          <w:tab/>
        </w:r>
        <w:r w:rsidR="00BA37EA">
          <w:rPr>
            <w:webHidden/>
          </w:rPr>
          <w:fldChar w:fldCharType="begin"/>
        </w:r>
        <w:r w:rsidR="00BA37EA">
          <w:rPr>
            <w:webHidden/>
          </w:rPr>
          <w:instrText xml:space="preserve"> PAGEREF _Toc157700858 \h </w:instrText>
        </w:r>
        <w:r w:rsidR="00BA37EA">
          <w:rPr>
            <w:webHidden/>
          </w:rPr>
        </w:r>
        <w:r w:rsidR="00BA37EA">
          <w:rPr>
            <w:webHidden/>
          </w:rPr>
          <w:fldChar w:fldCharType="separate"/>
        </w:r>
        <w:r w:rsidR="007712FF">
          <w:rPr>
            <w:webHidden/>
          </w:rPr>
          <w:t>24</w:t>
        </w:r>
        <w:r w:rsidR="00BA37EA">
          <w:rPr>
            <w:webHidden/>
          </w:rPr>
          <w:fldChar w:fldCharType="end"/>
        </w:r>
      </w:hyperlink>
    </w:p>
    <w:p w14:paraId="0F9110A2" w14:textId="0AFC7363" w:rsidR="00814074" w:rsidRDefault="00814074" w:rsidP="00814074">
      <w:pPr>
        <w:pStyle w:val="SingleParagraph"/>
        <w:ind w:right="-2"/>
      </w:pPr>
      <w:r>
        <w:fldChar w:fldCharType="end"/>
      </w:r>
    </w:p>
    <w:p w14:paraId="4B37E00E" w14:textId="77777777" w:rsidR="00814074" w:rsidRPr="00B775EE" w:rsidRDefault="00814074" w:rsidP="00814074">
      <w:pPr>
        <w:pStyle w:val="SingleParagraph"/>
        <w:ind w:right="-2"/>
        <w:rPr>
          <w:b/>
          <w:bCs/>
        </w:rPr>
        <w:sectPr w:rsidR="00814074" w:rsidRPr="00B775EE" w:rsidSect="00556E36">
          <w:headerReference w:type="even" r:id="rId20"/>
          <w:headerReference w:type="default" r:id="rId21"/>
          <w:footerReference w:type="even" r:id="rId22"/>
          <w:headerReference w:type="first" r:id="rId23"/>
          <w:footerReference w:type="first" r:id="rId24"/>
          <w:pgSz w:w="11906" w:h="16838" w:code="9"/>
          <w:pgMar w:top="1843" w:right="1418" w:bottom="1418" w:left="1418" w:header="709" w:footer="709" w:gutter="0"/>
          <w:pgNumType w:fmt="lowerRoman" w:start="3"/>
          <w:cols w:space="708"/>
          <w:titlePg/>
          <w:docGrid w:linePitch="360"/>
        </w:sectPr>
      </w:pPr>
    </w:p>
    <w:p w14:paraId="399B64AF" w14:textId="77777777" w:rsidR="00814074" w:rsidRPr="00987531" w:rsidRDefault="00814074" w:rsidP="00814074">
      <w:pPr>
        <w:pStyle w:val="Heading1"/>
      </w:pPr>
      <w:bookmarkStart w:id="0" w:name="_Toc157700832"/>
      <w:r>
        <w:lastRenderedPageBreak/>
        <w:t>Consultation process</w:t>
      </w:r>
      <w:bookmarkEnd w:id="0"/>
    </w:p>
    <w:p w14:paraId="1972611F" w14:textId="77777777" w:rsidR="00814074" w:rsidRDefault="00814074" w:rsidP="00814074">
      <w:pPr>
        <w:pStyle w:val="Heading2"/>
      </w:pPr>
      <w:bookmarkStart w:id="1" w:name="_Toc157700833"/>
      <w:r>
        <w:t>Request for feedback</w:t>
      </w:r>
      <w:bookmarkEnd w:id="1"/>
    </w:p>
    <w:p w14:paraId="5404AA0B" w14:textId="77777777" w:rsidR="00814074" w:rsidRDefault="00814074" w:rsidP="00814074">
      <w:r>
        <w:t>The purpose of this consultation paper is to seek information and views on whether and how the Food and Grocery Code of Conduct (the Code) could be made more effective.</w:t>
      </w:r>
    </w:p>
    <w:p w14:paraId="51FC4249" w14:textId="77777777" w:rsidR="00814074" w:rsidRPr="00D51B16" w:rsidRDefault="00814074" w:rsidP="00814074">
      <w:r w:rsidRPr="00D51B16">
        <w:t>All information</w:t>
      </w:r>
      <w:r>
        <w:t xml:space="preserve">, </w:t>
      </w:r>
      <w:r w:rsidRPr="00D51B16">
        <w:t>including name and address details</w:t>
      </w:r>
      <w:r>
        <w:t>,</w:t>
      </w:r>
      <w:r w:rsidRPr="00D51B16">
        <w:t xml:space="preserve"> contained in formal submissions will be </w:t>
      </w:r>
      <w:r>
        <w:t>published</w:t>
      </w:r>
      <w:r w:rsidRPr="00D51B16">
        <w:t xml:space="preserve"> on the Australian Treasury website, unless </w:t>
      </w:r>
      <w:r>
        <w:t xml:space="preserve">it is clearly </w:t>
      </w:r>
      <w:r w:rsidRPr="00D51B16">
        <w:t>indicate</w:t>
      </w:r>
      <w:r>
        <w:t>d</w:t>
      </w:r>
      <w:r w:rsidRPr="00D51B16">
        <w:t xml:space="preserve"> that all or part of </w:t>
      </w:r>
      <w:r>
        <w:t>the</w:t>
      </w:r>
      <w:r w:rsidRPr="00D51B16">
        <w:t xml:space="preserve"> submission </w:t>
      </w:r>
      <w:r>
        <w:t>is provided</w:t>
      </w:r>
      <w:r w:rsidRPr="00D51B16">
        <w:t xml:space="preserve"> in confidence. </w:t>
      </w:r>
    </w:p>
    <w:p w14:paraId="5587BFA3" w14:textId="77777777" w:rsidR="00814074" w:rsidRDefault="00814074" w:rsidP="00814074">
      <w:r>
        <w:t xml:space="preserve">View Treasury’s </w:t>
      </w:r>
      <w:hyperlink r:id="rId25" w:history="1">
        <w:r w:rsidRPr="00F50670">
          <w:rPr>
            <w:rStyle w:val="Hyperlink"/>
          </w:rPr>
          <w:t>Submission Guidelines</w:t>
        </w:r>
      </w:hyperlink>
      <w:r>
        <w:t xml:space="preserve"> for further information.</w:t>
      </w:r>
    </w:p>
    <w:p w14:paraId="53CFB73E" w14:textId="77777777" w:rsidR="00814074" w:rsidRPr="00E617F9" w:rsidRDefault="00814074" w:rsidP="00814074">
      <w:pPr>
        <w:rPr>
          <w:rFonts w:asciiTheme="majorHAnsi" w:hAnsiTheme="majorHAnsi" w:cstheme="majorHAnsi"/>
          <w:b/>
          <w:bCs/>
          <w:sz w:val="28"/>
          <w:szCs w:val="28"/>
        </w:rPr>
      </w:pPr>
      <w:r w:rsidRPr="00E617F9">
        <w:rPr>
          <w:rFonts w:asciiTheme="majorHAnsi" w:hAnsiTheme="majorHAnsi" w:cstheme="majorHAnsi"/>
          <w:b/>
          <w:bCs/>
          <w:sz w:val="28"/>
          <w:szCs w:val="28"/>
        </w:rPr>
        <w:t xml:space="preserve">Closing date for submissions: </w:t>
      </w:r>
      <w:sdt>
        <w:sdtPr>
          <w:rPr>
            <w:rStyle w:val="Heading3Char"/>
            <w:rFonts w:cstheme="majorHAnsi"/>
            <w:b/>
            <w:bCs/>
            <w:sz w:val="28"/>
            <w:szCs w:val="28"/>
          </w:rPr>
          <w:id w:val="-1924099413"/>
          <w:placeholder>
            <w:docPart w:val="DF19201A7C2C4F9EB1EAAFC844D91D74"/>
          </w:placeholder>
          <w:date w:fullDate="2024-02-29T00:00:00Z">
            <w:dateFormat w:val="dd MMMM yyyy"/>
            <w:lid w:val="en-AU"/>
            <w:storeMappedDataAs w:val="dateTime"/>
            <w:calendar w:val="gregorian"/>
          </w:date>
        </w:sdtPr>
        <w:sdtEndPr>
          <w:rPr>
            <w:rStyle w:val="DefaultParagraphFont"/>
            <w:rFonts w:asciiTheme="minorHAnsi" w:hAnsiTheme="minorHAnsi"/>
            <w:color w:val="000000" w:themeColor="text1"/>
            <w:kern w:val="0"/>
          </w:rPr>
        </w:sdtEndPr>
        <w:sdtContent>
          <w:r>
            <w:rPr>
              <w:rStyle w:val="Heading3Char"/>
              <w:rFonts w:cstheme="majorHAnsi"/>
              <w:b/>
              <w:bCs/>
              <w:sz w:val="28"/>
              <w:szCs w:val="28"/>
            </w:rPr>
            <w:t>29 February 2024</w:t>
          </w:r>
        </w:sdtContent>
      </w:sdt>
    </w:p>
    <w:tbl>
      <w:tblPr>
        <w:tblStyle w:val="TableGrid"/>
        <w:tblW w:w="0" w:type="auto"/>
        <w:tblLook w:val="04A0" w:firstRow="1" w:lastRow="0" w:firstColumn="1" w:lastColumn="0" w:noHBand="0" w:noVBand="1"/>
      </w:tblPr>
      <w:tblGrid>
        <w:gridCol w:w="1514"/>
        <w:gridCol w:w="7556"/>
      </w:tblGrid>
      <w:tr w:rsidR="00814074" w:rsidRPr="00B85F47" w14:paraId="4C17A18F" w14:textId="77777777" w:rsidTr="00556E36">
        <w:trPr>
          <w:cnfStyle w:val="100000000000" w:firstRow="1" w:lastRow="0" w:firstColumn="0" w:lastColumn="0" w:oddVBand="0" w:evenVBand="0" w:oddHBand="0" w:evenHBand="0" w:firstRowFirstColumn="0" w:firstRowLastColumn="0" w:lastRowFirstColumn="0" w:lastRowLastColumn="0"/>
        </w:trPr>
        <w:tc>
          <w:tcPr>
            <w:tcW w:w="1514" w:type="dxa"/>
          </w:tcPr>
          <w:p w14:paraId="62B595FF" w14:textId="77777777" w:rsidR="00814074" w:rsidRPr="00B85F47" w:rsidRDefault="00814074" w:rsidP="00556E36">
            <w:pPr>
              <w:spacing w:before="96" w:after="96"/>
              <w:rPr>
                <w:sz w:val="22"/>
                <w:szCs w:val="22"/>
              </w:rPr>
            </w:pPr>
            <w:r w:rsidRPr="00B85F47">
              <w:rPr>
                <w:sz w:val="22"/>
                <w:szCs w:val="22"/>
              </w:rPr>
              <w:t>Email</w:t>
            </w:r>
          </w:p>
        </w:tc>
        <w:tc>
          <w:tcPr>
            <w:tcW w:w="7556" w:type="dxa"/>
          </w:tcPr>
          <w:p w14:paraId="6B48349F" w14:textId="77777777" w:rsidR="00814074" w:rsidRPr="00E617F9" w:rsidRDefault="00523CEC" w:rsidP="00556E36">
            <w:pPr>
              <w:spacing w:before="96" w:after="96"/>
              <w:rPr>
                <w:sz w:val="22"/>
                <w:szCs w:val="24"/>
                <w:u w:val="single"/>
              </w:rPr>
            </w:pPr>
            <w:hyperlink r:id="rId26">
              <w:r w:rsidR="00814074" w:rsidRPr="008A4A7C">
                <w:rPr>
                  <w:rStyle w:val="Hyperlink"/>
                  <w:rFonts w:cs="Arial"/>
                  <w:sz w:val="22"/>
                  <w:szCs w:val="22"/>
                  <w:u w:val="single"/>
                </w:rPr>
                <w:t>GroceryCodeReview@treasury.gov.au</w:t>
              </w:r>
            </w:hyperlink>
            <w:r w:rsidR="00814074" w:rsidRPr="008A4A7C">
              <w:rPr>
                <w:rFonts w:cs="Arial"/>
                <w:color w:val="3A6FAF"/>
                <w:sz w:val="22"/>
                <w:szCs w:val="22"/>
                <w:u w:val="single"/>
              </w:rPr>
              <w:t xml:space="preserve"> </w:t>
            </w:r>
          </w:p>
        </w:tc>
      </w:tr>
      <w:tr w:rsidR="00814074" w:rsidRPr="00B85F47" w14:paraId="48D885CF" w14:textId="77777777" w:rsidTr="00556E36">
        <w:trPr>
          <w:trHeight w:val="1313"/>
        </w:trPr>
        <w:tc>
          <w:tcPr>
            <w:tcW w:w="1514" w:type="dxa"/>
          </w:tcPr>
          <w:p w14:paraId="419DD712" w14:textId="77777777" w:rsidR="00814074" w:rsidRPr="00B85F47" w:rsidRDefault="00814074" w:rsidP="00556E36">
            <w:pPr>
              <w:rPr>
                <w:sz w:val="22"/>
                <w:szCs w:val="22"/>
              </w:rPr>
            </w:pPr>
            <w:r w:rsidRPr="00B85F47">
              <w:rPr>
                <w:sz w:val="22"/>
                <w:szCs w:val="22"/>
              </w:rPr>
              <w:t>Mail</w:t>
            </w:r>
          </w:p>
        </w:tc>
        <w:tc>
          <w:tcPr>
            <w:tcW w:w="7556" w:type="dxa"/>
          </w:tcPr>
          <w:p w14:paraId="5F50AB7F" w14:textId="77777777" w:rsidR="00814074" w:rsidRPr="007429A3" w:rsidRDefault="00814074" w:rsidP="00556E36">
            <w:pPr>
              <w:pStyle w:val="SingleParagraph"/>
              <w:rPr>
                <w:rFonts w:cs="Arial"/>
                <w:sz w:val="24"/>
                <w:szCs w:val="24"/>
              </w:rPr>
            </w:pPr>
            <w:r w:rsidRPr="007429A3">
              <w:rPr>
                <w:rFonts w:cs="Arial"/>
                <w:sz w:val="22"/>
                <w:szCs w:val="24"/>
              </w:rPr>
              <w:t>Grocery Code Review Secretariat</w:t>
            </w:r>
          </w:p>
          <w:p w14:paraId="34D01ECC" w14:textId="77777777" w:rsidR="00814074" w:rsidRPr="007429A3" w:rsidRDefault="00814074" w:rsidP="00556E36">
            <w:pPr>
              <w:pStyle w:val="SingleParagraph"/>
              <w:rPr>
                <w:rFonts w:cs="Arial"/>
                <w:sz w:val="24"/>
                <w:szCs w:val="24"/>
              </w:rPr>
            </w:pPr>
            <w:r w:rsidRPr="007429A3">
              <w:rPr>
                <w:rFonts w:cs="Arial"/>
                <w:sz w:val="22"/>
                <w:szCs w:val="24"/>
              </w:rPr>
              <w:t>Market Conduct and Digital Division</w:t>
            </w:r>
          </w:p>
          <w:p w14:paraId="2F3A5506" w14:textId="77777777" w:rsidR="00814074" w:rsidRPr="00B85F47" w:rsidRDefault="00814074" w:rsidP="00556E36">
            <w:pPr>
              <w:pStyle w:val="SingleParagraph"/>
              <w:rPr>
                <w:rFonts w:cs="Arial"/>
                <w:sz w:val="22"/>
                <w:szCs w:val="22"/>
              </w:rPr>
            </w:pPr>
            <w:r w:rsidRPr="00B85F47">
              <w:rPr>
                <w:rFonts w:cs="Arial"/>
                <w:sz w:val="22"/>
                <w:szCs w:val="22"/>
              </w:rPr>
              <w:t>The Treasury</w:t>
            </w:r>
          </w:p>
          <w:p w14:paraId="6BDC83A5" w14:textId="77777777" w:rsidR="00814074" w:rsidRPr="00B85F47" w:rsidRDefault="00814074" w:rsidP="00556E36">
            <w:pPr>
              <w:pStyle w:val="SingleParagraph"/>
              <w:rPr>
                <w:rFonts w:cs="Arial"/>
                <w:sz w:val="22"/>
                <w:szCs w:val="22"/>
              </w:rPr>
            </w:pPr>
            <w:r w:rsidRPr="00B85F47">
              <w:rPr>
                <w:rFonts w:cs="Arial"/>
                <w:sz w:val="22"/>
                <w:szCs w:val="22"/>
              </w:rPr>
              <w:t>Langton Crescent</w:t>
            </w:r>
          </w:p>
          <w:p w14:paraId="05B34130" w14:textId="77777777" w:rsidR="00814074" w:rsidRPr="00B85F47" w:rsidRDefault="00814074" w:rsidP="00556E36">
            <w:pPr>
              <w:pStyle w:val="SingleParagraph"/>
              <w:rPr>
                <w:sz w:val="22"/>
                <w:szCs w:val="22"/>
              </w:rPr>
            </w:pPr>
            <w:r w:rsidRPr="00B85F47">
              <w:rPr>
                <w:sz w:val="22"/>
                <w:szCs w:val="22"/>
              </w:rPr>
              <w:t>PARKES ACT 2600</w:t>
            </w:r>
          </w:p>
        </w:tc>
      </w:tr>
      <w:tr w:rsidR="00814074" w:rsidRPr="00B85F47" w14:paraId="1F44DFB7" w14:textId="77777777" w:rsidTr="00556E36">
        <w:tc>
          <w:tcPr>
            <w:tcW w:w="1514" w:type="dxa"/>
          </w:tcPr>
          <w:p w14:paraId="359238F5" w14:textId="77777777" w:rsidR="00814074" w:rsidRPr="00B85F47" w:rsidRDefault="00814074" w:rsidP="00556E36">
            <w:pPr>
              <w:rPr>
                <w:sz w:val="22"/>
                <w:szCs w:val="22"/>
              </w:rPr>
            </w:pPr>
            <w:r w:rsidRPr="00B85F47">
              <w:rPr>
                <w:sz w:val="22"/>
                <w:szCs w:val="22"/>
              </w:rPr>
              <w:t>Enquiries</w:t>
            </w:r>
          </w:p>
        </w:tc>
        <w:tc>
          <w:tcPr>
            <w:tcW w:w="7556" w:type="dxa"/>
          </w:tcPr>
          <w:p w14:paraId="459FD1EA" w14:textId="45FCB332" w:rsidR="00814074" w:rsidRPr="00B85F47" w:rsidRDefault="00814074" w:rsidP="00556E36">
            <w:pPr>
              <w:rPr>
                <w:sz w:val="22"/>
                <w:szCs w:val="22"/>
              </w:rPr>
            </w:pPr>
            <w:r w:rsidRPr="24056418">
              <w:rPr>
                <w:rFonts w:cs="Arial"/>
                <w:sz w:val="22"/>
                <w:szCs w:val="22"/>
              </w:rPr>
              <w:t>Enquiries can be initially directed to</w:t>
            </w:r>
            <w:r w:rsidRPr="00713B25">
              <w:rPr>
                <w:rFonts w:cs="Arial"/>
                <w:color w:val="3A6FAF"/>
                <w:sz w:val="22"/>
                <w:szCs w:val="22"/>
              </w:rPr>
              <w:t xml:space="preserve"> </w:t>
            </w:r>
            <w:hyperlink r:id="rId27">
              <w:r w:rsidRPr="00713B25">
                <w:rPr>
                  <w:rStyle w:val="Hyperlink"/>
                  <w:rFonts w:cs="Arial"/>
                  <w:sz w:val="22"/>
                  <w:szCs w:val="22"/>
                  <w:u w:val="single"/>
                </w:rPr>
                <w:t>GroceryCodeReview@treasury.gov.au</w:t>
              </w:r>
            </w:hyperlink>
          </w:p>
        </w:tc>
      </w:tr>
    </w:tbl>
    <w:p w14:paraId="304743ED" w14:textId="77777777" w:rsidR="00814074" w:rsidRDefault="00814074" w:rsidP="00814074">
      <w:r>
        <w:br w:type="page"/>
      </w:r>
    </w:p>
    <w:p w14:paraId="3905A9C6" w14:textId="2BAEA7E0" w:rsidR="00814074" w:rsidRDefault="00814074" w:rsidP="00216FB4">
      <w:pPr>
        <w:pStyle w:val="Heading1"/>
        <w:spacing w:line="540" w:lineRule="exact"/>
      </w:pPr>
      <w:bookmarkStart w:id="2" w:name="_Toc157700834"/>
      <w:r>
        <w:lastRenderedPageBreak/>
        <w:t xml:space="preserve">Foreword from </w:t>
      </w:r>
      <w:r w:rsidR="00BD780B">
        <w:t>Dr Craig Emerson</w:t>
      </w:r>
      <w:bookmarkEnd w:id="2"/>
      <w:r>
        <w:t xml:space="preserve"> </w:t>
      </w:r>
    </w:p>
    <w:p w14:paraId="294EE021" w14:textId="605B820E" w:rsidR="00814074" w:rsidRPr="001034B3" w:rsidRDefault="00814074" w:rsidP="00814074">
      <w:r w:rsidRPr="001034B3">
        <w:t xml:space="preserve">I have been asked to review the Food and Grocery Code of Conduct (the Code) and recommend whether it should be amended, </w:t>
      </w:r>
      <w:proofErr w:type="gramStart"/>
      <w:r w:rsidRPr="001034B3">
        <w:t>remade</w:t>
      </w:r>
      <w:proofErr w:type="gramEnd"/>
      <w:r w:rsidRPr="001034B3">
        <w:t xml:space="preserve"> or repealed. The Code is a voluntary </w:t>
      </w:r>
      <w:r w:rsidR="00A73BCF" w:rsidRPr="001034B3">
        <w:t xml:space="preserve">prescribed </w:t>
      </w:r>
      <w:r w:rsidRPr="001034B3">
        <w:t xml:space="preserve">code of conduct </w:t>
      </w:r>
      <w:r w:rsidR="007D5F7A" w:rsidRPr="001034B3">
        <w:t xml:space="preserve">under the </w:t>
      </w:r>
      <w:r w:rsidR="007D5F7A" w:rsidRPr="00E97413">
        <w:rPr>
          <w:i/>
          <w:iCs/>
        </w:rPr>
        <w:t>Competition and Consumer Act 2010</w:t>
      </w:r>
      <w:r w:rsidR="007D5F7A" w:rsidRPr="001034B3">
        <w:t xml:space="preserve">. The Code has four signatories: </w:t>
      </w:r>
      <w:r w:rsidRPr="001034B3">
        <w:t>Woolworths, Coles, Aldi and Metcash</w:t>
      </w:r>
      <w:r w:rsidR="00385D1F" w:rsidRPr="001034B3">
        <w:t>, and</w:t>
      </w:r>
      <w:r w:rsidRPr="001034B3">
        <w:t xml:space="preserve"> suppliers</w:t>
      </w:r>
      <w:r w:rsidR="00FF1F5A" w:rsidRPr="001034B3">
        <w:t xml:space="preserve"> to these signatories</w:t>
      </w:r>
      <w:r w:rsidRPr="001034B3">
        <w:t xml:space="preserve"> are automatically covered by the Code.</w:t>
      </w:r>
    </w:p>
    <w:p w14:paraId="51F92B9A" w14:textId="187CF4C8" w:rsidR="00814074" w:rsidRPr="001034B3" w:rsidRDefault="00814074" w:rsidP="00814074">
      <w:r w:rsidRPr="001034B3">
        <w:t>Amending the Code would retain it as a voluntary code. Remaking the Code would involve making it mandatory. In my view, repealing the Code and replacing it with nothing is untenable and therefore will not be considered in this review.</w:t>
      </w:r>
    </w:p>
    <w:p w14:paraId="5F0A9613" w14:textId="784E4235" w:rsidR="00814074" w:rsidRPr="001034B3" w:rsidRDefault="004A5D40" w:rsidP="00814074">
      <w:r w:rsidRPr="001034B3">
        <w:t>T</w:t>
      </w:r>
      <w:r w:rsidR="00814074" w:rsidRPr="001034B3">
        <w:t xml:space="preserve">he Code will sunset automatically on 1 </w:t>
      </w:r>
      <w:r w:rsidR="003D7274" w:rsidRPr="001034B3">
        <w:t xml:space="preserve">April </w:t>
      </w:r>
      <w:r w:rsidR="00814074" w:rsidRPr="001034B3">
        <w:t xml:space="preserve">2025. Therefore, while this review is timely, it is also essential to </w:t>
      </w:r>
      <w:r w:rsidR="008B05C4" w:rsidRPr="001034B3">
        <w:t xml:space="preserve">the continued regulation of this industry. </w:t>
      </w:r>
    </w:p>
    <w:p w14:paraId="342C3CA8" w14:textId="77777777" w:rsidR="00814074" w:rsidRPr="001034B3" w:rsidRDefault="00814074" w:rsidP="00814074">
      <w:r w:rsidRPr="001034B3">
        <w:t xml:space="preserve">The basic reason for the Code coming into existence in 2015 was an imbalance of market power between supermarkets and their suppliers, especially smaller suppliers. In Australia, the three major supermarkets, Woolworths, </w:t>
      </w:r>
      <w:proofErr w:type="gramStart"/>
      <w:r w:rsidRPr="001034B3">
        <w:t>Coles</w:t>
      </w:r>
      <w:proofErr w:type="gramEnd"/>
      <w:r w:rsidRPr="001034B3">
        <w:t xml:space="preserve"> and Aldi, together with wholesaler Metcash, which supplies IGA stores – hold 82 per cent of the Australian market.</w:t>
      </w:r>
    </w:p>
    <w:p w14:paraId="201FC622" w14:textId="77777777" w:rsidR="00814074" w:rsidRPr="001034B3" w:rsidRDefault="00814074" w:rsidP="00814074">
      <w:r w:rsidRPr="001034B3">
        <w:t xml:space="preserve">Woolworths and Coles have a combined market share of 65 per cent, while Britain’s top two supermarkets have a combined market share of 43 per cent, and the United States’ four largest supermarkets have a combined market share of just 34 per cent. </w:t>
      </w:r>
    </w:p>
    <w:p w14:paraId="7E00DCAA" w14:textId="77777777" w:rsidR="00814074" w:rsidRPr="00BB378F" w:rsidRDefault="00814074" w:rsidP="00814074">
      <w:r w:rsidRPr="00BB378F">
        <w:t>Australia’s small population, together with its distance from big global population centres, helps explain the high level of market concentration here, but it does confer greater market power on a small number of supermarket chains here than in most other countries.</w:t>
      </w:r>
    </w:p>
    <w:p w14:paraId="021E6F8E" w14:textId="06A1A4F4" w:rsidR="00814074" w:rsidRPr="00BB378F" w:rsidRDefault="00C85152" w:rsidP="00814074">
      <w:r w:rsidRPr="00BB378F">
        <w:t xml:space="preserve">The Samuel review of the Code in 2018 noted that very few suppliers had elevated a dispute under the Code. </w:t>
      </w:r>
      <w:r w:rsidR="00814074" w:rsidRPr="00BB378F">
        <w:t xml:space="preserve">Since the introduction </w:t>
      </w:r>
      <w:r w:rsidR="00DF341D" w:rsidRPr="00BB378F">
        <w:t xml:space="preserve">of the Code Arbiter model </w:t>
      </w:r>
      <w:r w:rsidR="00814074" w:rsidRPr="00BB378F">
        <w:t>in 20</w:t>
      </w:r>
      <w:r w:rsidR="00DF341D" w:rsidRPr="00BB378F">
        <w:t>2</w:t>
      </w:r>
      <w:r w:rsidR="00814074" w:rsidRPr="00BB378F">
        <w:t>1 there have been only 5</w:t>
      </w:r>
      <w:r w:rsidR="00C37077" w:rsidRPr="00BB378F">
        <w:t> </w:t>
      </w:r>
      <w:r w:rsidR="00DF341D" w:rsidRPr="00BB378F">
        <w:t>complaints to an arbiter</w:t>
      </w:r>
      <w:r w:rsidR="00814074" w:rsidRPr="00BB378F">
        <w:t>. Supporters of the voluntary Code claim this small number indicates that the relationship between the supermarkets and suppliers is good. Critics of the voluntary Code argue that suppliers are too frightened to raise a dispute with a supermarket for fear of their product being removed from the supermarket’s shelves.</w:t>
      </w:r>
    </w:p>
    <w:p w14:paraId="1304C505" w14:textId="0241C7C9" w:rsidR="002D51C2" w:rsidRPr="00BB378F" w:rsidRDefault="00814074" w:rsidP="00814074">
      <w:r w:rsidRPr="00BB378F">
        <w:t xml:space="preserve">Advocates of remaking the </w:t>
      </w:r>
      <w:r w:rsidR="00E440B3" w:rsidRPr="00BB378F">
        <w:t xml:space="preserve">voluntary </w:t>
      </w:r>
      <w:r w:rsidRPr="00BB378F">
        <w:t xml:space="preserve">Code into a mandatory </w:t>
      </w:r>
      <w:r w:rsidR="003A1D15" w:rsidRPr="00BB378F">
        <w:t>C</w:t>
      </w:r>
      <w:r w:rsidRPr="00BB378F">
        <w:t xml:space="preserve">ode point to the weak enforcement powers in a voluntary code. Under the Code, Arbiters are appointed and funded by the supermarkets. </w:t>
      </w:r>
      <w:r w:rsidR="005B5511" w:rsidRPr="00BB378F">
        <w:t xml:space="preserve">The </w:t>
      </w:r>
      <w:r w:rsidR="00A05B4F" w:rsidRPr="00BB378F">
        <w:t>Arbiter</w:t>
      </w:r>
      <w:r w:rsidR="005B5511" w:rsidRPr="00BB378F">
        <w:t>’</w:t>
      </w:r>
      <w:r w:rsidR="00A05B4F" w:rsidRPr="00BB378F">
        <w:t xml:space="preserve">s </w:t>
      </w:r>
      <w:r w:rsidR="005B5511" w:rsidRPr="00BB378F">
        <w:t>role is to deal with complaints from suppliers relating to a m</w:t>
      </w:r>
      <w:r w:rsidR="00905D05" w:rsidRPr="00BB378F">
        <w:t>a</w:t>
      </w:r>
      <w:r w:rsidR="005B5511" w:rsidRPr="00BB378F">
        <w:t xml:space="preserve">tter covered by the Code. </w:t>
      </w:r>
      <w:r w:rsidR="00A05B4F" w:rsidRPr="00BB378F">
        <w:t xml:space="preserve">If a supplier is </w:t>
      </w:r>
      <w:r w:rsidR="00E3327C" w:rsidRPr="00BB378F">
        <w:t>dissatisfied with the steps taken by the Arbiter in relation to a complaint,</w:t>
      </w:r>
      <w:r w:rsidR="00E81E31" w:rsidRPr="00BB378F">
        <w:t xml:space="preserve"> the supplier</w:t>
      </w:r>
      <w:r w:rsidR="00E3327C" w:rsidRPr="00BB378F">
        <w:t xml:space="preserve"> may refer the matter to </w:t>
      </w:r>
      <w:r w:rsidR="00905D05" w:rsidRPr="00BB378F">
        <w:t xml:space="preserve">the Independent </w:t>
      </w:r>
      <w:r w:rsidRPr="00BB378F">
        <w:t>Reviewer</w:t>
      </w:r>
      <w:r w:rsidR="00567164" w:rsidRPr="00BB378F">
        <w:t xml:space="preserve">. </w:t>
      </w:r>
      <w:r w:rsidR="00236D40" w:rsidRPr="00BB378F">
        <w:t>However</w:t>
      </w:r>
      <w:r w:rsidRPr="00BB378F">
        <w:t xml:space="preserve">, the Reviewer’s decision cannot be enforced legally, although ultimately the Reviewer can refer the matter to the ACCC. </w:t>
      </w:r>
      <w:r w:rsidR="002D51C2" w:rsidRPr="00BB378F">
        <w:t xml:space="preserve">The ACCC </w:t>
      </w:r>
      <w:r w:rsidR="00B6687C" w:rsidRPr="00BB378F">
        <w:t xml:space="preserve">receives very few reports about alleged breaches </w:t>
      </w:r>
      <w:r w:rsidR="00B34CF2" w:rsidRPr="00BB378F">
        <w:t xml:space="preserve">of </w:t>
      </w:r>
      <w:r w:rsidR="002D51C2" w:rsidRPr="00BB378F">
        <w:t>the Code</w:t>
      </w:r>
      <w:r w:rsidR="00725D9C" w:rsidRPr="00BB378F">
        <w:t>.</w:t>
      </w:r>
      <w:r w:rsidR="002D51C2" w:rsidRPr="00BB378F">
        <w:t xml:space="preserve"> </w:t>
      </w:r>
      <w:r w:rsidR="00854DF0" w:rsidRPr="00BB378F">
        <w:t>T</w:t>
      </w:r>
      <w:r w:rsidR="002D51C2" w:rsidRPr="00BB378F">
        <w:t xml:space="preserve">here is a </w:t>
      </w:r>
      <w:r w:rsidR="00C176BD" w:rsidRPr="00BB378F">
        <w:t xml:space="preserve">widely held </w:t>
      </w:r>
      <w:r w:rsidR="002D51C2" w:rsidRPr="00BB378F">
        <w:t>perception that compliance with the Code is voluntary</w:t>
      </w:r>
      <w:r w:rsidR="0090265D" w:rsidRPr="00BB378F">
        <w:t>.</w:t>
      </w:r>
    </w:p>
    <w:p w14:paraId="74BB0AE6" w14:textId="64F996AC" w:rsidR="00814074" w:rsidRPr="00BB378F" w:rsidRDefault="00814074" w:rsidP="00814074">
      <w:r w:rsidRPr="00BB378F">
        <w:t xml:space="preserve">A mandatory </w:t>
      </w:r>
      <w:r w:rsidR="00F60FA5" w:rsidRPr="00BB378F">
        <w:t>c</w:t>
      </w:r>
      <w:r w:rsidRPr="00BB378F">
        <w:t xml:space="preserve">ode </w:t>
      </w:r>
      <w:r w:rsidR="008F7BEF" w:rsidRPr="00BB378F">
        <w:t>with penalty provision</w:t>
      </w:r>
      <w:r w:rsidR="00400043" w:rsidRPr="00BB378F">
        <w:t xml:space="preserve">s </w:t>
      </w:r>
      <w:r w:rsidRPr="00BB378F">
        <w:t xml:space="preserve">would </w:t>
      </w:r>
      <w:r w:rsidR="00400043" w:rsidRPr="00BB378F">
        <w:t xml:space="preserve">likely incentivise </w:t>
      </w:r>
      <w:r w:rsidR="00C162E0" w:rsidRPr="00BB378F">
        <w:t xml:space="preserve">greater </w:t>
      </w:r>
      <w:r w:rsidR="00400043" w:rsidRPr="00BB378F">
        <w:t>complianc</w:t>
      </w:r>
      <w:r w:rsidR="002B78ED" w:rsidRPr="00BB378F">
        <w:t>e</w:t>
      </w:r>
      <w:r w:rsidR="00EC6EA4" w:rsidRPr="00BB378F">
        <w:t xml:space="preserve"> by supermarkets</w:t>
      </w:r>
      <w:r w:rsidRPr="00BB378F">
        <w:t>.</w:t>
      </w:r>
      <w:r w:rsidR="00A33202" w:rsidRPr="00BB378F">
        <w:t xml:space="preserve"> Enf</w:t>
      </w:r>
      <w:r w:rsidR="003A3F61" w:rsidRPr="00BB378F">
        <w:t xml:space="preserve">orcement options that become available when penalty provisions are part of the </w:t>
      </w:r>
      <w:r w:rsidR="00B243DE" w:rsidRPr="00BB378F">
        <w:t>C</w:t>
      </w:r>
      <w:r w:rsidR="003A3F61" w:rsidRPr="00BB378F">
        <w:t xml:space="preserve">ode </w:t>
      </w:r>
      <w:r w:rsidR="00B243DE" w:rsidRPr="00BB378F">
        <w:t xml:space="preserve">could </w:t>
      </w:r>
      <w:r w:rsidR="003A3F61" w:rsidRPr="00BB378F">
        <w:t xml:space="preserve">include </w:t>
      </w:r>
      <w:r w:rsidR="00051787" w:rsidRPr="00BB378F">
        <w:t xml:space="preserve">infringement notices and </w:t>
      </w:r>
      <w:r w:rsidR="003A3F61" w:rsidRPr="00BB378F">
        <w:t>court proceedings to impose financial penalties for non</w:t>
      </w:r>
      <w:r w:rsidR="00051787" w:rsidRPr="00BB378F">
        <w:noBreakHyphen/>
      </w:r>
      <w:r w:rsidR="003A3F61" w:rsidRPr="00BB378F">
        <w:t>compliance.</w:t>
      </w:r>
    </w:p>
    <w:p w14:paraId="469E0441" w14:textId="07770957" w:rsidR="00814074" w:rsidRPr="00BB378F" w:rsidRDefault="00814074" w:rsidP="00814074">
      <w:r w:rsidRPr="00BB378F">
        <w:t>Supporters of a voluntary Code argue that ACCC enforcement can take years before the courts, by which time t</w:t>
      </w:r>
      <w:r w:rsidR="00A827AC" w:rsidRPr="00BB378F">
        <w:t>he</w:t>
      </w:r>
      <w:r w:rsidRPr="00BB378F">
        <w:t xml:space="preserve"> supplier will have gone broke.</w:t>
      </w:r>
    </w:p>
    <w:p w14:paraId="61C84992" w14:textId="6F249E9E" w:rsidR="00814074" w:rsidRDefault="00814074" w:rsidP="00BB378F">
      <w:pPr>
        <w:rPr>
          <w:rFonts w:cstheme="minorHAnsi"/>
          <w:lang w:eastAsia="en-GB"/>
        </w:rPr>
      </w:pPr>
      <w:r w:rsidRPr="00BB378F">
        <w:lastRenderedPageBreak/>
        <w:t xml:space="preserve">However, enforcement through lengthy legal proceedings is not the only option under a mandatory code. The ACCC points out that mediation is a good way to resolve disputes without going through complex and costly legal action. The ACCC adds that </w:t>
      </w:r>
      <w:r w:rsidR="00D33C1D" w:rsidRPr="00BB378F">
        <w:t xml:space="preserve">the </w:t>
      </w:r>
      <w:r w:rsidRPr="00BB378F">
        <w:t>Australian Small Business and Family Enterprise Ombudsman (ASBFEO) can provide parties with access to mediation services. ASBFEO maintains a specialist panel of trained mediators in each state and territory. All mediators are accredited under the National Mediator Accreditation Standards system.</w:t>
      </w:r>
    </w:p>
    <w:p w14:paraId="5BBB6232" w14:textId="77777777" w:rsidR="00814074" w:rsidRDefault="00814074" w:rsidP="00BB378F">
      <w:pPr>
        <w:rPr>
          <w:rFonts w:cstheme="minorHAnsi"/>
          <w:lang w:eastAsia="en-GB"/>
        </w:rPr>
      </w:pPr>
      <w:r>
        <w:rPr>
          <w:rFonts w:cstheme="minorHAnsi"/>
          <w:lang w:eastAsia="en-GB"/>
        </w:rPr>
        <w:t>Although the review’s terms of reference do not include wider issues of competition policy for the supermarket industry, the outcome of this review of the Code will form part of a wider response to cost-of-living pressures. The consultation paper canvasses some of these policy instruments, including the Government’s decision to ask the ACCC to undertake a price inquiry into the supermarket industry and the commissioning of CHOICE to publish periodically the prices of selected items sold by the various supermarkets.</w:t>
      </w:r>
    </w:p>
    <w:p w14:paraId="3EB2F12E" w14:textId="535FF4A3" w:rsidR="00814074" w:rsidRDefault="00814074" w:rsidP="00814074">
      <w:pPr>
        <w:rPr>
          <w:rFonts w:cstheme="minorHAnsi"/>
          <w:lang w:eastAsia="en-GB"/>
        </w:rPr>
      </w:pPr>
      <w:r>
        <w:rPr>
          <w:rFonts w:cstheme="minorHAnsi"/>
          <w:lang w:eastAsia="en-GB"/>
        </w:rPr>
        <w:t xml:space="preserve">It is through greater competition </w:t>
      </w:r>
      <w:r w:rsidR="00FE57CD">
        <w:rPr>
          <w:rFonts w:cstheme="minorHAnsi"/>
          <w:lang w:eastAsia="en-GB"/>
        </w:rPr>
        <w:t xml:space="preserve">between </w:t>
      </w:r>
      <w:r>
        <w:rPr>
          <w:rFonts w:cstheme="minorHAnsi"/>
          <w:lang w:eastAsia="en-GB"/>
        </w:rPr>
        <w:t>supermarkets that the policy goals of higher prices for suppliers and lower prices for consumers can be achieved.</w:t>
      </w:r>
    </w:p>
    <w:p w14:paraId="71DB4374" w14:textId="77777777" w:rsidR="00814074" w:rsidRDefault="00814074" w:rsidP="00814074">
      <w:pPr>
        <w:rPr>
          <w:rFonts w:cstheme="minorHAnsi"/>
          <w:lang w:eastAsia="en-GB"/>
        </w:rPr>
      </w:pPr>
      <w:r>
        <w:rPr>
          <w:rFonts w:cstheme="minorHAnsi"/>
          <w:lang w:eastAsia="en-GB"/>
        </w:rPr>
        <w:t xml:space="preserve">This review will produce an interim report, followed by a final report based on responses to the interim report. </w:t>
      </w:r>
    </w:p>
    <w:p w14:paraId="03B7BFDE" w14:textId="1150280A" w:rsidR="00814074" w:rsidRDefault="00814074" w:rsidP="00814074">
      <w:pPr>
        <w:rPr>
          <w:rFonts w:cstheme="minorHAnsi"/>
          <w:lang w:eastAsia="en-GB"/>
        </w:rPr>
      </w:pPr>
      <w:r>
        <w:rPr>
          <w:rFonts w:cstheme="minorHAnsi"/>
          <w:lang w:eastAsia="en-GB"/>
        </w:rPr>
        <w:t xml:space="preserve">Stakeholders and other interested parties are encouraged to respond to this consultation paper. </w:t>
      </w:r>
      <w:r w:rsidR="00657C1C">
        <w:rPr>
          <w:rFonts w:cstheme="minorHAnsi"/>
          <w:lang w:eastAsia="en-GB"/>
        </w:rPr>
        <w:br/>
      </w:r>
      <w:r>
        <w:rPr>
          <w:rFonts w:cstheme="minorHAnsi"/>
          <w:lang w:eastAsia="en-GB"/>
        </w:rPr>
        <w:t xml:space="preserve">To help frame responses, the consultation paper poses a specific set of questions, but respondents should feel free to include any other observations, </w:t>
      </w:r>
      <w:proofErr w:type="gramStart"/>
      <w:r>
        <w:rPr>
          <w:rFonts w:cstheme="minorHAnsi"/>
          <w:lang w:eastAsia="en-GB"/>
        </w:rPr>
        <w:t>data</w:t>
      </w:r>
      <w:proofErr w:type="gramEnd"/>
      <w:r>
        <w:rPr>
          <w:rFonts w:cstheme="minorHAnsi"/>
          <w:lang w:eastAsia="en-GB"/>
        </w:rPr>
        <w:t xml:space="preserve"> and views.</w:t>
      </w:r>
    </w:p>
    <w:p w14:paraId="3B484B8A" w14:textId="77777777" w:rsidR="00814074" w:rsidRDefault="00814074" w:rsidP="00814074">
      <w:pPr>
        <w:pStyle w:val="NormalWeb"/>
        <w:spacing w:before="0" w:beforeAutospacing="0" w:after="0" w:afterAutospacing="0"/>
        <w:rPr>
          <w:rFonts w:ascii="Calibri" w:hAnsi="Calibri" w:cs="Calibri"/>
        </w:rPr>
      </w:pPr>
    </w:p>
    <w:p w14:paraId="5F86C732" w14:textId="77777777" w:rsidR="00814074" w:rsidRDefault="00814074" w:rsidP="00814074">
      <w:pPr>
        <w:pStyle w:val="NormalWeb"/>
        <w:spacing w:before="0" w:beforeAutospacing="0" w:after="0" w:afterAutospacing="0"/>
      </w:pPr>
      <w:r>
        <w:rPr>
          <w:rFonts w:ascii="Calibri" w:hAnsi="Calibri" w:cs="Calibri"/>
        </w:rPr>
        <w:t xml:space="preserve">The Hon Dr Craig Emerson </w:t>
      </w:r>
    </w:p>
    <w:p w14:paraId="5094AFBD" w14:textId="05955496" w:rsidR="00814074" w:rsidRDefault="00814074" w:rsidP="00814074">
      <w:pPr>
        <w:pStyle w:val="NormalWeb"/>
        <w:spacing w:before="0" w:beforeAutospacing="0" w:after="0" w:afterAutospacing="0"/>
        <w:rPr>
          <w:rFonts w:ascii="Calibri" w:hAnsi="Calibri" w:cs="Calibri"/>
        </w:rPr>
      </w:pPr>
      <w:r>
        <w:rPr>
          <w:rFonts w:ascii="Calibri" w:hAnsi="Calibri" w:cs="Calibri"/>
        </w:rPr>
        <w:t>Independent Reviewer</w:t>
      </w:r>
      <w:r>
        <w:rPr>
          <w:rFonts w:ascii="Calibri" w:hAnsi="Calibri" w:cs="Calibri"/>
        </w:rPr>
        <w:br/>
        <w:t>Review of the Food and Grocery Code of Conduct</w:t>
      </w:r>
    </w:p>
    <w:p w14:paraId="7326D90C" w14:textId="77777777" w:rsidR="00814074" w:rsidRDefault="00814074" w:rsidP="00814074">
      <w:pPr>
        <w:spacing w:before="0" w:after="160" w:line="259" w:lineRule="auto"/>
        <w:rPr>
          <w:rFonts w:asciiTheme="majorHAnsi" w:hAnsiTheme="majorHAnsi" w:cs="Arial"/>
          <w:b/>
          <w:kern w:val="32"/>
          <w:sz w:val="56"/>
          <w:szCs w:val="36"/>
        </w:rPr>
      </w:pPr>
      <w:r>
        <w:br w:type="page"/>
      </w:r>
    </w:p>
    <w:p w14:paraId="34619713" w14:textId="77777777" w:rsidR="00814074" w:rsidRDefault="00814074" w:rsidP="00814074">
      <w:pPr>
        <w:pStyle w:val="Heading1"/>
      </w:pPr>
      <w:bookmarkStart w:id="3" w:name="_Toc157700835"/>
      <w:r>
        <w:lastRenderedPageBreak/>
        <w:t>Review of the Food and Grocery Code of Conduct</w:t>
      </w:r>
      <w:bookmarkEnd w:id="3"/>
    </w:p>
    <w:p w14:paraId="1EED752B" w14:textId="7887192D" w:rsidR="00814074" w:rsidRDefault="00814074" w:rsidP="00814074">
      <w:r w:rsidRPr="00AB370B">
        <w:t>On 10 January 2024, the Prime Minister, the Treasurer, the Minister for Agriculture, Fisheries and Forestry, and the Assistant Minister for Competition, Charities and Treasury announced the appointment of the Hon Dr Craig Emerson to lead the 2023-24 Review of the Food and Grocery Code of Conduct (the Review).</w:t>
      </w:r>
      <w:r w:rsidR="00E30CAE" w:rsidRPr="00E30CAE">
        <w:rPr>
          <w:rStyle w:val="FootnoteReference"/>
          <w:sz w:val="22"/>
          <w:szCs w:val="24"/>
          <w:vertAlign w:val="superscript"/>
        </w:rPr>
        <w:footnoteReference w:id="2"/>
      </w:r>
      <w:r w:rsidRPr="00E30CAE">
        <w:rPr>
          <w:sz w:val="28"/>
          <w:szCs w:val="24"/>
          <w:vertAlign w:val="superscript"/>
        </w:rPr>
        <w:t xml:space="preserve"> </w:t>
      </w:r>
    </w:p>
    <w:p w14:paraId="16B4AE1E" w14:textId="77777777" w:rsidR="00814074" w:rsidRPr="00AB370B" w:rsidRDefault="00814074" w:rsidP="00814074">
      <w:r w:rsidRPr="00AB370B">
        <w:t>To support Dr Emerson, a small secretariat has been established within the Treasury. </w:t>
      </w:r>
    </w:p>
    <w:p w14:paraId="2C8870EB" w14:textId="77777777" w:rsidR="00814074" w:rsidRDefault="00814074" w:rsidP="00814074">
      <w:pPr>
        <w:pStyle w:val="Heading2"/>
        <w:spacing w:before="0"/>
      </w:pPr>
      <w:bookmarkStart w:id="4" w:name="_Toc157700836"/>
      <w:r>
        <w:t>Background to the Review</w:t>
      </w:r>
      <w:bookmarkEnd w:id="4"/>
    </w:p>
    <w:p w14:paraId="0960ADCF" w14:textId="1266330E" w:rsidR="00814074" w:rsidRDefault="00814074" w:rsidP="00814074">
      <w:r>
        <w:t xml:space="preserve">The Review and its timing are prescribed under Section 5 of the </w:t>
      </w:r>
      <w:r w:rsidRPr="05692353">
        <w:rPr>
          <w:i/>
          <w:iCs/>
        </w:rPr>
        <w:t>Competition and Consumer (Industry Codes</w:t>
      </w:r>
      <w:r w:rsidR="00C47B81">
        <w:rPr>
          <w:i/>
          <w:iCs/>
        </w:rPr>
        <w:t xml:space="preserve"> </w:t>
      </w:r>
      <w:r w:rsidRPr="05692353">
        <w:rPr>
          <w:i/>
          <w:iCs/>
        </w:rPr>
        <w:t>–</w:t>
      </w:r>
      <w:r w:rsidR="00C47B81">
        <w:rPr>
          <w:i/>
          <w:iCs/>
        </w:rPr>
        <w:t xml:space="preserve"> </w:t>
      </w:r>
      <w:r w:rsidRPr="05692353">
        <w:rPr>
          <w:i/>
          <w:iCs/>
        </w:rPr>
        <w:t>Food and Grocery) Regulation 2015</w:t>
      </w:r>
      <w:r>
        <w:t xml:space="preserve"> (the Code). </w:t>
      </w:r>
    </w:p>
    <w:p w14:paraId="5CF887C8" w14:textId="77777777" w:rsidR="00814074" w:rsidRDefault="00814074" w:rsidP="00814074">
      <w:r w:rsidRPr="00AB370B">
        <w:t xml:space="preserve">Dr Emerson is required to prepare a written report to the </w:t>
      </w:r>
      <w:r>
        <w:t xml:space="preserve">Assistant </w:t>
      </w:r>
      <w:r w:rsidRPr="00AB370B">
        <w:t xml:space="preserve">Minister for Competition, Charities and Treasury by 30 June 2024. The report will include findings and recommendations </w:t>
      </w:r>
      <w:r>
        <w:t>drawing upon</w:t>
      </w:r>
      <w:r w:rsidRPr="00AB370B">
        <w:t xml:space="preserve"> submissions and evidence received during the review process</w:t>
      </w:r>
      <w:r>
        <w:t>.</w:t>
      </w:r>
    </w:p>
    <w:p w14:paraId="457DFC97" w14:textId="77777777" w:rsidR="00814074" w:rsidRPr="00B96BAC" w:rsidRDefault="00814074" w:rsidP="00814074">
      <w:pPr>
        <w:rPr>
          <w:color w:val="auto"/>
        </w:rPr>
      </w:pPr>
      <w:r>
        <w:t xml:space="preserve">Dr Emerson will release an interim report for any further feedback from </w:t>
      </w:r>
      <w:r w:rsidRPr="00B96BAC">
        <w:rPr>
          <w:color w:val="auto"/>
        </w:rPr>
        <w:t>stakeholders.</w:t>
      </w:r>
    </w:p>
    <w:p w14:paraId="0D500D24" w14:textId="77777777" w:rsidR="00814074" w:rsidRDefault="00814074" w:rsidP="00814074">
      <w:pPr>
        <w:pStyle w:val="Heading2"/>
        <w:spacing w:before="0"/>
      </w:pPr>
      <w:bookmarkStart w:id="5" w:name="_Toc157700837"/>
      <w:r>
        <w:t>Terms of Reference</w:t>
      </w:r>
      <w:bookmarkEnd w:id="5"/>
      <w:r>
        <w:t xml:space="preserve"> </w:t>
      </w:r>
    </w:p>
    <w:p w14:paraId="5314E137" w14:textId="77777777" w:rsidR="00814074" w:rsidRDefault="00814074" w:rsidP="00814074">
      <w:r>
        <w:t>The Review will:</w:t>
      </w:r>
    </w:p>
    <w:p w14:paraId="6310CB3A" w14:textId="77777777" w:rsidR="00814074" w:rsidRDefault="00814074" w:rsidP="00814074">
      <w:pPr>
        <w:pStyle w:val="ListParagraph"/>
        <w:numPr>
          <w:ilvl w:val="0"/>
          <w:numId w:val="11"/>
        </w:numPr>
        <w:spacing w:before="120" w:after="120"/>
      </w:pPr>
      <w:r>
        <w:t xml:space="preserve">Assess the effectiveness of the Code provisions in achieving the purpose of the Code to improve the commercial relationship between retailers, </w:t>
      </w:r>
      <w:proofErr w:type="gramStart"/>
      <w:r>
        <w:t>wholesalers</w:t>
      </w:r>
      <w:proofErr w:type="gramEnd"/>
      <w:r>
        <w:t xml:space="preserve"> and suppliers in the grocery sector; and</w:t>
      </w:r>
    </w:p>
    <w:p w14:paraId="16515E84" w14:textId="77777777" w:rsidR="00814074" w:rsidRDefault="00814074" w:rsidP="00814074">
      <w:pPr>
        <w:pStyle w:val="ListParagraph"/>
        <w:numPr>
          <w:ilvl w:val="0"/>
          <w:numId w:val="11"/>
        </w:numPr>
        <w:spacing w:before="120" w:after="120"/>
      </w:pPr>
      <w:r>
        <w:t xml:space="preserve">Consider the need for the Code, including whether it should be remade, </w:t>
      </w:r>
      <w:proofErr w:type="gramStart"/>
      <w:r>
        <w:t>amended</w:t>
      </w:r>
      <w:proofErr w:type="gramEnd"/>
      <w:r>
        <w:t xml:space="preserve"> or repealed.</w:t>
      </w:r>
    </w:p>
    <w:p w14:paraId="4AA3BDC0" w14:textId="77777777" w:rsidR="00814074" w:rsidRDefault="00814074" w:rsidP="00814074">
      <w:r>
        <w:t xml:space="preserve">In evaluating the purpose and features of the Code, the Review will have </w:t>
      </w:r>
      <w:proofErr w:type="gramStart"/>
      <w:r>
        <w:t>particular regard</w:t>
      </w:r>
      <w:proofErr w:type="gramEnd"/>
      <w:r>
        <w:t xml:space="preserve"> to:</w:t>
      </w:r>
    </w:p>
    <w:p w14:paraId="06B359C0" w14:textId="77777777" w:rsidR="00814074" w:rsidRDefault="00814074" w:rsidP="00814074">
      <w:pPr>
        <w:pStyle w:val="ListParagraph"/>
        <w:numPr>
          <w:ilvl w:val="0"/>
          <w:numId w:val="12"/>
        </w:numPr>
        <w:spacing w:before="120" w:after="120"/>
      </w:pPr>
      <w:r>
        <w:t xml:space="preserve">The impact of the Code in improving commercial relations between grocery retailers, wholesalers and </w:t>
      </w:r>
      <w:proofErr w:type="gramStart"/>
      <w:r>
        <w:t>suppliers;</w:t>
      </w:r>
      <w:proofErr w:type="gramEnd"/>
    </w:p>
    <w:p w14:paraId="2986DCEA" w14:textId="77777777" w:rsidR="00814074" w:rsidRDefault="00814074" w:rsidP="00814074">
      <w:pPr>
        <w:pStyle w:val="ListParagraph"/>
        <w:numPr>
          <w:ilvl w:val="0"/>
          <w:numId w:val="12"/>
        </w:numPr>
        <w:spacing w:before="120" w:after="120"/>
      </w:pPr>
      <w:r>
        <w:t xml:space="preserve">Whether the Code’s provisions should be extended to other retailers or wholesalers operating in the food and grocery </w:t>
      </w:r>
      <w:proofErr w:type="gramStart"/>
      <w:r>
        <w:t>sector;</w:t>
      </w:r>
      <w:proofErr w:type="gramEnd"/>
    </w:p>
    <w:p w14:paraId="35D5BF65" w14:textId="77777777" w:rsidR="00814074" w:rsidRDefault="00814074" w:rsidP="00814074">
      <w:pPr>
        <w:pStyle w:val="ListParagraph"/>
        <w:numPr>
          <w:ilvl w:val="0"/>
          <w:numId w:val="12"/>
        </w:numPr>
        <w:spacing w:before="120" w:after="120"/>
      </w:pPr>
      <w:r>
        <w:t>Whether the Code should be made mandatory; and</w:t>
      </w:r>
    </w:p>
    <w:p w14:paraId="641C5CFB" w14:textId="77777777" w:rsidR="00814074" w:rsidRPr="00AB370B" w:rsidRDefault="00814074" w:rsidP="00814074">
      <w:pPr>
        <w:pStyle w:val="ListParagraph"/>
        <w:numPr>
          <w:ilvl w:val="0"/>
          <w:numId w:val="12"/>
        </w:numPr>
        <w:spacing w:before="120" w:after="120"/>
      </w:pPr>
      <w:r>
        <w:t>Whether the Code should include civil penalty provisions.</w:t>
      </w:r>
    </w:p>
    <w:p w14:paraId="2F27FA7A" w14:textId="77777777" w:rsidR="00814074" w:rsidRPr="00671324" w:rsidRDefault="00814074" w:rsidP="00814074">
      <w:pPr>
        <w:sectPr w:rsidR="00814074" w:rsidRPr="00671324" w:rsidSect="00556E36">
          <w:headerReference w:type="default" r:id="rId28"/>
          <w:footerReference w:type="default" r:id="rId29"/>
          <w:type w:val="oddPage"/>
          <w:pgSz w:w="11906" w:h="16838" w:code="9"/>
          <w:pgMar w:top="1843" w:right="1418" w:bottom="1418" w:left="1418" w:header="709" w:footer="709" w:gutter="0"/>
          <w:pgNumType w:start="1"/>
          <w:cols w:space="708"/>
          <w:docGrid w:linePitch="360"/>
        </w:sectPr>
      </w:pPr>
    </w:p>
    <w:p w14:paraId="2BC0E660" w14:textId="77777777" w:rsidR="00814074" w:rsidRDefault="00814074" w:rsidP="00814074">
      <w:pPr>
        <w:pStyle w:val="Heading1"/>
      </w:pPr>
      <w:bookmarkStart w:id="6" w:name="_Toc157700838"/>
      <w:r>
        <w:lastRenderedPageBreak/>
        <w:t>Overview of the Code</w:t>
      </w:r>
      <w:bookmarkEnd w:id="6"/>
    </w:p>
    <w:p w14:paraId="2252B25D" w14:textId="77777777" w:rsidR="00814074" w:rsidRPr="00942D60" w:rsidRDefault="00814074" w:rsidP="00814074">
      <w:pPr>
        <w:pStyle w:val="Heading2"/>
        <w:rPr>
          <w:b/>
          <w:color w:val="B2B2B2" w:themeColor="accent2"/>
          <w:sz w:val="28"/>
          <w:szCs w:val="26"/>
        </w:rPr>
      </w:pPr>
      <w:bookmarkStart w:id="7" w:name="_Toc157700839"/>
      <w:r w:rsidRPr="00942D60">
        <w:t xml:space="preserve">Purpose of the </w:t>
      </w:r>
      <w:r w:rsidRPr="0014210F">
        <w:t>Code</w:t>
      </w:r>
      <w:bookmarkEnd w:id="7"/>
    </w:p>
    <w:p w14:paraId="59916A2F" w14:textId="77777777" w:rsidR="00814074" w:rsidRDefault="00814074" w:rsidP="00814074">
      <w:r>
        <w:t>The purpose of the Code is to address harmful practices in the grocery sector stemming from an imbalance of bargaining power between supermarkets and their suppliers.</w:t>
      </w:r>
      <w:r w:rsidRPr="00AB370B">
        <w:t> </w:t>
      </w:r>
      <w:r>
        <w:t xml:space="preserve">As legislated, the Code has four objectives: </w:t>
      </w:r>
    </w:p>
    <w:p w14:paraId="625860AD" w14:textId="4B892C81" w:rsidR="005F5DBC" w:rsidRDefault="002A4315" w:rsidP="002A4315">
      <w:pPr>
        <w:pStyle w:val="OutlineNumbered1"/>
        <w:spacing w:after="120"/>
      </w:pPr>
      <w:r>
        <w:t>T</w:t>
      </w:r>
      <w:r w:rsidR="005F5DBC">
        <w:t xml:space="preserve">o help to regulate standards of business conduct in the grocery supply chain and to build and sustain trust and cooperation throughout that </w:t>
      </w:r>
      <w:proofErr w:type="gramStart"/>
      <w:r w:rsidR="005F5DBC">
        <w:t>chain;</w:t>
      </w:r>
      <w:proofErr w:type="gramEnd"/>
    </w:p>
    <w:p w14:paraId="523784D7" w14:textId="5E258673" w:rsidR="005F5DBC" w:rsidRDefault="002A4315" w:rsidP="005F5DBC">
      <w:pPr>
        <w:pStyle w:val="OutlineNumbered1"/>
        <w:spacing w:after="120"/>
      </w:pPr>
      <w:r>
        <w:t>T</w:t>
      </w:r>
      <w:r w:rsidR="005F5DBC">
        <w:t xml:space="preserve">o ensure transparency and certainty in commercial transactions in the grocery supply chain and to minimise disputes arising from a lack of certainty in respect of the commercial terms agreed between </w:t>
      </w:r>
      <w:proofErr w:type="gramStart"/>
      <w:r w:rsidR="005F5DBC">
        <w:t>parties;</w:t>
      </w:r>
      <w:proofErr w:type="gramEnd"/>
    </w:p>
    <w:p w14:paraId="3CC82B6B" w14:textId="6840D370" w:rsidR="005F5DBC" w:rsidRDefault="002A4315" w:rsidP="005F5DBC">
      <w:pPr>
        <w:pStyle w:val="OutlineNumbered1"/>
        <w:spacing w:after="120"/>
      </w:pPr>
      <w:r>
        <w:t>T</w:t>
      </w:r>
      <w:r w:rsidR="005F5DBC">
        <w:t xml:space="preserve">o provide an effective, </w:t>
      </w:r>
      <w:proofErr w:type="gramStart"/>
      <w:r w:rsidR="005F5DBC">
        <w:t>fair</w:t>
      </w:r>
      <w:proofErr w:type="gramEnd"/>
      <w:r w:rsidR="005F5DBC">
        <w:t xml:space="preserve"> and equitable dispute resolution process for raising and investigating complaints and resolving disputes arising between retailers or wholesalers and suppliers; and</w:t>
      </w:r>
    </w:p>
    <w:p w14:paraId="6D166B09" w14:textId="32619382" w:rsidR="005F5DBC" w:rsidRDefault="002A4315" w:rsidP="005F5DBC">
      <w:pPr>
        <w:pStyle w:val="OutlineNumbered1"/>
      </w:pPr>
      <w:r>
        <w:t>T</w:t>
      </w:r>
      <w:r w:rsidR="005F5DBC">
        <w:t xml:space="preserve">o promote and support good faith in commercial dealings between retailers, </w:t>
      </w:r>
      <w:proofErr w:type="gramStart"/>
      <w:r w:rsidR="005F5DBC">
        <w:t>wholesalers</w:t>
      </w:r>
      <w:proofErr w:type="gramEnd"/>
      <w:r w:rsidR="005F5DBC">
        <w:t xml:space="preserve"> and suppliers.</w:t>
      </w:r>
      <w:r w:rsidR="0019695E" w:rsidRPr="000B61AB">
        <w:rPr>
          <w:rStyle w:val="FootnoteReference"/>
          <w:sz w:val="22"/>
          <w:szCs w:val="24"/>
          <w:vertAlign w:val="superscript"/>
        </w:rPr>
        <w:footnoteReference w:id="3"/>
      </w:r>
    </w:p>
    <w:p w14:paraId="2E5891EB" w14:textId="77777777" w:rsidR="00814074" w:rsidRDefault="00814074" w:rsidP="005F5DBC">
      <w:pPr>
        <w:pStyle w:val="OutlineNumbered1"/>
        <w:numPr>
          <w:ilvl w:val="0"/>
          <w:numId w:val="0"/>
        </w:numPr>
      </w:pPr>
      <w:r>
        <w:t>Through protecting suppliers against business behaviours that affect the growth and sustainability of the grocery industry, the Code is intended to prevent harms passed on through the supply chain to Australian consumers. This review will test whether the Code is effectively contributing to the food and grocery industry as intended.</w:t>
      </w:r>
    </w:p>
    <w:tbl>
      <w:tblPr>
        <w:tblStyle w:val="TableGrid"/>
        <w:tblW w:w="0" w:type="auto"/>
        <w:tblLook w:val="04A0" w:firstRow="1" w:lastRow="0" w:firstColumn="1" w:lastColumn="0" w:noHBand="0" w:noVBand="1"/>
      </w:tblPr>
      <w:tblGrid>
        <w:gridCol w:w="8956"/>
      </w:tblGrid>
      <w:tr w:rsidR="00814074" w14:paraId="707C25E5" w14:textId="77777777" w:rsidTr="0011250A">
        <w:trPr>
          <w:cnfStyle w:val="100000000000" w:firstRow="1" w:lastRow="0" w:firstColumn="0" w:lastColumn="0" w:oddVBand="0" w:evenVBand="0" w:oddHBand="0" w:evenHBand="0" w:firstRowFirstColumn="0" w:firstRowLastColumn="0" w:lastRowFirstColumn="0" w:lastRowLastColumn="0"/>
          <w:trHeight w:val="2233"/>
        </w:trPr>
        <w:tc>
          <w:tcPr>
            <w:tcW w:w="8956" w:type="dxa"/>
          </w:tcPr>
          <w:p w14:paraId="16E2BF69" w14:textId="77777777" w:rsidR="00814074" w:rsidRPr="00613BC1" w:rsidRDefault="00814074" w:rsidP="00556E36">
            <w:pPr>
              <w:pStyle w:val="BoxHeading"/>
              <w:spacing w:before="96" w:after="96"/>
              <w:rPr>
                <w:b/>
                <w:bCs/>
              </w:rPr>
            </w:pPr>
            <w:r>
              <w:rPr>
                <w:b/>
                <w:bCs/>
              </w:rPr>
              <w:t>Consultation Q</w:t>
            </w:r>
            <w:r w:rsidRPr="00613BC1">
              <w:rPr>
                <w:b/>
                <w:bCs/>
              </w:rPr>
              <w:t>uestion</w:t>
            </w:r>
            <w:r>
              <w:rPr>
                <w:b/>
                <w:bCs/>
              </w:rPr>
              <w:t>s</w:t>
            </w:r>
          </w:p>
          <w:p w14:paraId="13D5ED39" w14:textId="77777777" w:rsidR="00814074" w:rsidRPr="00B826FA" w:rsidRDefault="00814074" w:rsidP="00556E36">
            <w:pPr>
              <w:pStyle w:val="Bullet"/>
              <w:tabs>
                <w:tab w:val="left" w:pos="720"/>
              </w:tabs>
              <w:spacing w:beforeLines="40" w:before="96" w:afterLines="40" w:after="96"/>
              <w:ind w:left="520" w:hanging="520"/>
              <w:rPr>
                <w:b w:val="0"/>
                <w:bCs/>
                <w:sz w:val="22"/>
                <w:szCs w:val="22"/>
              </w:rPr>
            </w:pPr>
            <w:r w:rsidRPr="00B826FA">
              <w:rPr>
                <w:b w:val="0"/>
                <w:bCs/>
                <w:sz w:val="22"/>
                <w:szCs w:val="22"/>
              </w:rPr>
              <w:t>What</w:t>
            </w:r>
            <w:r>
              <w:rPr>
                <w:b w:val="0"/>
                <w:bCs/>
                <w:sz w:val="22"/>
                <w:szCs w:val="22"/>
              </w:rPr>
              <w:t>, if any,</w:t>
            </w:r>
            <w:r w:rsidRPr="00B826FA">
              <w:rPr>
                <w:b w:val="0"/>
                <w:bCs/>
                <w:sz w:val="22"/>
                <w:szCs w:val="22"/>
              </w:rPr>
              <w:t xml:space="preserve"> other objectives should guide the Code to improve relations between </w:t>
            </w:r>
            <w:r>
              <w:rPr>
                <w:b w:val="0"/>
                <w:bCs/>
                <w:sz w:val="22"/>
                <w:szCs w:val="22"/>
              </w:rPr>
              <w:t>supermarkets</w:t>
            </w:r>
            <w:r w:rsidRPr="00B826FA">
              <w:rPr>
                <w:b w:val="0"/>
                <w:bCs/>
                <w:sz w:val="22"/>
                <w:szCs w:val="22"/>
              </w:rPr>
              <w:t xml:space="preserve"> and their suppliers?</w:t>
            </w:r>
          </w:p>
          <w:p w14:paraId="10FA6187" w14:textId="77777777" w:rsidR="00814074" w:rsidRPr="003A5012" w:rsidRDefault="00814074" w:rsidP="00556E36">
            <w:pPr>
              <w:pStyle w:val="Bullet"/>
              <w:tabs>
                <w:tab w:val="left" w:pos="720"/>
              </w:tabs>
              <w:spacing w:beforeLines="40" w:before="96" w:afterLines="40" w:after="96"/>
              <w:ind w:left="520" w:hanging="520"/>
              <w:rPr>
                <w:b w:val="0"/>
                <w:bCs/>
                <w:sz w:val="22"/>
                <w:szCs w:val="22"/>
              </w:rPr>
            </w:pPr>
            <w:r w:rsidRPr="00B826FA">
              <w:rPr>
                <w:b w:val="0"/>
                <w:bCs/>
                <w:sz w:val="22"/>
                <w:szCs w:val="22"/>
              </w:rPr>
              <w:t xml:space="preserve">Does the Code effectively address issues between </w:t>
            </w:r>
            <w:r>
              <w:rPr>
                <w:b w:val="0"/>
                <w:bCs/>
                <w:sz w:val="22"/>
                <w:szCs w:val="22"/>
              </w:rPr>
              <w:t>supermarkets</w:t>
            </w:r>
            <w:r w:rsidRPr="00B826FA">
              <w:rPr>
                <w:b w:val="0"/>
                <w:bCs/>
                <w:sz w:val="22"/>
                <w:szCs w:val="22"/>
              </w:rPr>
              <w:t xml:space="preserve"> and their suppliers stemming from bargaining power imbalances?</w:t>
            </w:r>
          </w:p>
        </w:tc>
      </w:tr>
    </w:tbl>
    <w:p w14:paraId="65C6C8B0" w14:textId="77777777" w:rsidR="00814074" w:rsidRDefault="00814074" w:rsidP="00814074">
      <w:pPr>
        <w:pStyle w:val="Heading2"/>
      </w:pPr>
    </w:p>
    <w:p w14:paraId="160DE394" w14:textId="77777777" w:rsidR="00814074" w:rsidRDefault="00814074" w:rsidP="00814074">
      <w:pPr>
        <w:spacing w:before="0" w:after="160" w:line="259" w:lineRule="auto"/>
        <w:rPr>
          <w:rFonts w:asciiTheme="majorHAnsi" w:hAnsiTheme="majorHAnsi" w:cs="Arial"/>
          <w:iCs/>
          <w:color w:val="4D4D4D" w:themeColor="accent6"/>
          <w:kern w:val="32"/>
          <w:sz w:val="48"/>
          <w:szCs w:val="28"/>
        </w:rPr>
      </w:pPr>
      <w:r>
        <w:br w:type="page"/>
      </w:r>
    </w:p>
    <w:p w14:paraId="2DE05DDD" w14:textId="77777777" w:rsidR="00814074" w:rsidRDefault="00814074" w:rsidP="00814074">
      <w:pPr>
        <w:pStyle w:val="Heading2"/>
      </w:pPr>
      <w:bookmarkStart w:id="8" w:name="_Toc157700840"/>
      <w:r>
        <w:lastRenderedPageBreak/>
        <w:t>Background to the Code</w:t>
      </w:r>
      <w:bookmarkEnd w:id="8"/>
    </w:p>
    <w:p w14:paraId="137DAA80" w14:textId="1915104A" w:rsidR="00814074" w:rsidRPr="008E214C" w:rsidRDefault="00814074" w:rsidP="00814074">
      <w:r>
        <w:rPr>
          <w:rStyle w:val="normaltextrun"/>
          <w:rFonts w:cs="Calibri"/>
          <w:color w:val="000000"/>
          <w:shd w:val="clear" w:color="auto" w:fill="FFFFFF"/>
        </w:rPr>
        <w:t>Australia’s food and grocery sector is heavily concentrated, with the largest four retailers (supermarkets) and wholesalers (Metcash) holding a market share of more than 80 per cent (Figure</w:t>
      </w:r>
      <w:r w:rsidR="00CE0535">
        <w:rPr>
          <w:rStyle w:val="normaltextrun"/>
          <w:rFonts w:cs="Calibri"/>
          <w:color w:val="000000"/>
          <w:shd w:val="clear" w:color="auto" w:fill="FFFFFF"/>
        </w:rPr>
        <w:t> </w:t>
      </w:r>
      <w:r>
        <w:rPr>
          <w:rStyle w:val="normaltextrun"/>
          <w:rFonts w:cs="Calibri"/>
          <w:color w:val="000000"/>
          <w:shd w:val="clear" w:color="auto" w:fill="FFFFFF"/>
        </w:rPr>
        <w:t xml:space="preserve">1). These four supermarkets and wholesalers – </w:t>
      </w:r>
      <w:r>
        <w:t xml:space="preserve">Woolworths, Coles, </w:t>
      </w:r>
      <w:proofErr w:type="gramStart"/>
      <w:r>
        <w:t>Aldi</w:t>
      </w:r>
      <w:proofErr w:type="gramEnd"/>
      <w:r>
        <w:t xml:space="preserve"> and Metcash – are signatories to the Code. </w:t>
      </w:r>
    </w:p>
    <w:p w14:paraId="5702A15A" w14:textId="77777777" w:rsidR="00814074" w:rsidRDefault="00814074" w:rsidP="00814074">
      <w:pPr>
        <w:pStyle w:val="ChartMainHeading"/>
        <w:rPr>
          <w:rFonts w:asciiTheme="minorHAnsi" w:hAnsiTheme="minorHAnsi"/>
        </w:rPr>
      </w:pPr>
      <w:r>
        <w:t>Figure 1. Food and grocery sector market share for the financial year 2022–23</w:t>
      </w:r>
      <w:r w:rsidRPr="009B65D4">
        <w:rPr>
          <w:vertAlign w:val="superscript"/>
        </w:rPr>
        <w:footnoteReference w:id="4"/>
      </w:r>
    </w:p>
    <w:p w14:paraId="1AF4E405" w14:textId="77777777" w:rsidR="00814074" w:rsidRDefault="00814074" w:rsidP="00814074">
      <w:r>
        <w:rPr>
          <w:noProof/>
        </w:rPr>
        <w:drawing>
          <wp:inline distT="0" distB="0" distL="0" distR="0" wp14:anchorId="63CB67CC" wp14:editId="0D59E809">
            <wp:extent cx="5759450" cy="2963545"/>
            <wp:effectExtent l="0" t="0" r="0" b="8255"/>
            <wp:docPr id="4" name="Picture 4" descr="Donut chart showing market shares of the food and grocery sector for the financial year 2022-23. The largest share is Woolworths at 37 per cent; followed by Coles at 28 per cent; Aldi at 10 per cent; Metcash at 7 per cent and an other category which has 1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ut chart showing market shares of the food and grocery sector for the financial year 2022-23. The largest share is Woolworths at 37 per cent; followed by Coles at 28 per cent; Aldi at 10 per cent; Metcash at 7 per cent and an other category which has 18 per c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963545"/>
                    </a:xfrm>
                    <a:prstGeom prst="rect">
                      <a:avLst/>
                    </a:prstGeom>
                    <a:noFill/>
                    <a:ln>
                      <a:noFill/>
                    </a:ln>
                  </pic:spPr>
                </pic:pic>
              </a:graphicData>
            </a:graphic>
          </wp:inline>
        </w:drawing>
      </w:r>
    </w:p>
    <w:p w14:paraId="3FDC63FD" w14:textId="77777777" w:rsidR="00814074" w:rsidRDefault="00814074" w:rsidP="00814074">
      <w:r>
        <w:t xml:space="preserve">A highly concentrated market such as this can provide those few players with substantial market power over its counterparts in the supply chain. </w:t>
      </w:r>
    </w:p>
    <w:p w14:paraId="04F4C864" w14:textId="004EF15A" w:rsidR="00814074" w:rsidRDefault="00814074" w:rsidP="00814074">
      <w:pPr>
        <w:pStyle w:val="OutlineNumbered1"/>
        <w:numPr>
          <w:ilvl w:val="0"/>
          <w:numId w:val="0"/>
        </w:numPr>
      </w:pPr>
      <w:r>
        <w:t xml:space="preserve">In view of the dominant market share held by the four entities, suppliers to Woolworths, Coles, </w:t>
      </w:r>
      <w:proofErr w:type="gramStart"/>
      <w:r>
        <w:t>Aldi</w:t>
      </w:r>
      <w:proofErr w:type="gramEnd"/>
      <w:r>
        <w:t xml:space="preserve"> and Metcash rely on them as the primary means of distributing their products to consumers. </w:t>
      </w:r>
    </w:p>
    <w:p w14:paraId="3DB851E3" w14:textId="517AFCFE" w:rsidR="00814074" w:rsidRPr="00221BFE" w:rsidRDefault="00814074" w:rsidP="00814074">
      <w:pPr>
        <w:pStyle w:val="OutlineNumbered1"/>
        <w:numPr>
          <w:ilvl w:val="0"/>
          <w:numId w:val="0"/>
        </w:numPr>
        <w:rPr>
          <w:color w:val="000000"/>
          <w:shd w:val="clear" w:color="auto" w:fill="FFFFFF"/>
        </w:rPr>
      </w:pPr>
      <w:r>
        <w:t>This market</w:t>
      </w:r>
      <w:r w:rsidR="00067434">
        <w:t xml:space="preserve"> </w:t>
      </w:r>
      <w:r>
        <w:t xml:space="preserve">power disparity between suppliers and supermarkets can </w:t>
      </w:r>
      <w:r>
        <w:rPr>
          <w:rStyle w:val="normaltextrun"/>
          <w:rFonts w:cs="Calibri"/>
          <w:color w:val="000000"/>
          <w:shd w:val="clear" w:color="auto" w:fill="FFFFFF"/>
        </w:rPr>
        <w:t xml:space="preserve">lead to large </w:t>
      </w:r>
      <w:r>
        <w:rPr>
          <w:rStyle w:val="normaltextrun"/>
          <w:color w:val="000000"/>
          <w:shd w:val="clear" w:color="auto" w:fill="FFFFFF"/>
        </w:rPr>
        <w:t xml:space="preserve">bargaining power imbalances. The extent of this bargaining power imbalance is likely to vary depending on the size of suppliers, the nature of their product and the market they are servicing. </w:t>
      </w:r>
      <w:r>
        <w:t xml:space="preserve">In Australia’s food and grocery industry, the power imbalance is likely to be particularly acute for smaller suppliers, for suppliers of perishable products to supermarkets, and suppliers to supermarkets in remote locations that do not face direct competition. </w:t>
      </w:r>
    </w:p>
    <w:p w14:paraId="632A35B9" w14:textId="0DB52257" w:rsidR="00814074" w:rsidRPr="00805278" w:rsidRDefault="00814074" w:rsidP="00814074">
      <w:pPr>
        <w:rPr>
          <w:rStyle w:val="normaltextrun"/>
        </w:rPr>
      </w:pPr>
      <w:r>
        <w:t xml:space="preserve">There are, however, other instances where suppliers could be expected </w:t>
      </w:r>
      <w:r w:rsidR="00606BA9">
        <w:t xml:space="preserve">also </w:t>
      </w:r>
      <w:r>
        <w:t xml:space="preserve">to have a high degree of market power. Some suppliers to supermarkets are large multinational corporations. Similarly, some categories of products supplied to supermarkets come from sectors that also have a high level of market concentration.  Yet even in these circumstances the threat of being delisted from a major </w:t>
      </w:r>
      <w:r>
        <w:lastRenderedPageBreak/>
        <w:t xml:space="preserve">supermarket chain is real, given the lack of alternative avenues for selling products into the Australian market.  </w:t>
      </w:r>
    </w:p>
    <w:p w14:paraId="655BE640" w14:textId="77777777" w:rsidR="00814074" w:rsidRDefault="00814074" w:rsidP="00814074">
      <w:pPr>
        <w:rPr>
          <w:rStyle w:val="normaltextrun"/>
          <w:color w:val="000000"/>
          <w:shd w:val="clear" w:color="auto" w:fill="FFFFFF"/>
        </w:rPr>
      </w:pPr>
      <w:r>
        <w:rPr>
          <w:rStyle w:val="normaltextrun"/>
          <w:color w:val="000000"/>
          <w:shd w:val="clear" w:color="auto" w:fill="FFFFFF"/>
        </w:rPr>
        <w:t xml:space="preserve">The Code was implemented in 2015 </w:t>
      </w:r>
      <w:proofErr w:type="gramStart"/>
      <w:r>
        <w:rPr>
          <w:rStyle w:val="normaltextrun"/>
          <w:color w:val="000000"/>
          <w:shd w:val="clear" w:color="auto" w:fill="FFFFFF"/>
        </w:rPr>
        <w:t>in an effort to</w:t>
      </w:r>
      <w:proofErr w:type="gramEnd"/>
      <w:r>
        <w:rPr>
          <w:rStyle w:val="normaltextrun"/>
          <w:color w:val="000000"/>
          <w:shd w:val="clear" w:color="auto" w:fill="FFFFFF"/>
        </w:rPr>
        <w:t xml:space="preserve"> guard against abuses of this imbalance in bargaining power through:    </w:t>
      </w:r>
    </w:p>
    <w:p w14:paraId="119D229C" w14:textId="77777777" w:rsidR="00814074" w:rsidRDefault="00814074" w:rsidP="00814074">
      <w:pPr>
        <w:pStyle w:val="Bullet"/>
        <w:numPr>
          <w:ilvl w:val="0"/>
          <w:numId w:val="19"/>
        </w:numPr>
      </w:pPr>
      <w:r>
        <w:t>S</w:t>
      </w:r>
      <w:r w:rsidRPr="003F04E6">
        <w:t xml:space="preserve">etting a minimum threshold for the basic provisions underscoring contracts to ensure that the terms and conditions set between signatories and their smallest suppliers are </w:t>
      </w:r>
      <w:proofErr w:type="gramStart"/>
      <w:r w:rsidRPr="003F04E6">
        <w:t>fair</w:t>
      </w:r>
      <w:r>
        <w:t>;</w:t>
      </w:r>
      <w:proofErr w:type="gramEnd"/>
      <w:r w:rsidRPr="003F04E6">
        <w:t xml:space="preserve"> </w:t>
      </w:r>
    </w:p>
    <w:p w14:paraId="544569BA" w14:textId="77777777" w:rsidR="00814074" w:rsidRDefault="00814074" w:rsidP="00814074">
      <w:pPr>
        <w:pStyle w:val="Bullet"/>
        <w:numPr>
          <w:ilvl w:val="0"/>
          <w:numId w:val="19"/>
        </w:numPr>
      </w:pPr>
      <w:r>
        <w:t>R</w:t>
      </w:r>
      <w:r w:rsidRPr="003F04E6">
        <w:t>equiring an appropriate minimum standard of behaviour by which wholesalers and retailers conduct themselves so that even the smallest of suppliers can expect to be and are treated fairly</w:t>
      </w:r>
      <w:r>
        <w:t>; and</w:t>
      </w:r>
    </w:p>
    <w:p w14:paraId="05F5E11C" w14:textId="77777777" w:rsidR="00814074" w:rsidRPr="002F2FA3" w:rsidRDefault="00814074" w:rsidP="00814074">
      <w:pPr>
        <w:pStyle w:val="Bullet"/>
        <w:numPr>
          <w:ilvl w:val="0"/>
          <w:numId w:val="19"/>
        </w:numPr>
        <w:tabs>
          <w:tab w:val="clear" w:pos="520"/>
        </w:tabs>
        <w:rPr>
          <w:rStyle w:val="normaltextrun"/>
        </w:rPr>
      </w:pPr>
      <w:r>
        <w:rPr>
          <w:rStyle w:val="normaltextrun"/>
          <w:color w:val="000000"/>
          <w:shd w:val="clear" w:color="auto" w:fill="FFFFFF"/>
        </w:rPr>
        <w:t>P</w:t>
      </w:r>
      <w:r w:rsidRPr="003F04E6">
        <w:rPr>
          <w:rStyle w:val="normaltextrun"/>
          <w:color w:val="000000"/>
          <w:shd w:val="clear" w:color="auto" w:fill="FFFFFF"/>
        </w:rPr>
        <w:t xml:space="preserve">roviding an avenue for dispute resolution which alleviates a supplier’s fear of retribution for speaking out in instances where a signatory has acted not in accordance with the Code. </w:t>
      </w:r>
    </w:p>
    <w:p w14:paraId="44C9AF29" w14:textId="7941F9AD" w:rsidR="00814074" w:rsidRPr="002F2FA3" w:rsidRDefault="00814074" w:rsidP="000D7AE2">
      <w:pPr>
        <w:pStyle w:val="Bullet"/>
        <w:numPr>
          <w:ilvl w:val="0"/>
          <w:numId w:val="0"/>
        </w:numPr>
        <w:spacing w:after="240"/>
        <w:rPr>
          <w:rStyle w:val="eop"/>
        </w:rPr>
      </w:pPr>
      <w:r w:rsidRPr="002F2FA3">
        <w:rPr>
          <w:rStyle w:val="normaltextrun"/>
          <w:rFonts w:cs="Calibri"/>
          <w:color w:val="000000"/>
          <w:shd w:val="clear" w:color="auto" w:fill="FFFFFF"/>
        </w:rPr>
        <w:t xml:space="preserve">In 2018, the Code underwent a statutory review led by Professor Graeme Samuel AO, former Chair of the ACCC. The </w:t>
      </w:r>
      <w:r>
        <w:rPr>
          <w:rStyle w:val="normaltextrun"/>
          <w:rFonts w:cs="Calibri"/>
          <w:color w:val="000000"/>
          <w:shd w:val="clear" w:color="auto" w:fill="FFFFFF"/>
        </w:rPr>
        <w:t>G</w:t>
      </w:r>
      <w:r w:rsidRPr="002F2FA3">
        <w:rPr>
          <w:rStyle w:val="normaltextrun"/>
          <w:rFonts w:cs="Calibri"/>
          <w:color w:val="000000"/>
          <w:shd w:val="clear" w:color="auto" w:fill="FFFFFF"/>
        </w:rPr>
        <w:t xml:space="preserve">overnment accepted 13 of </w:t>
      </w:r>
      <w:r>
        <w:rPr>
          <w:rStyle w:val="normaltextrun"/>
          <w:rFonts w:cs="Calibri"/>
          <w:color w:val="000000"/>
          <w:shd w:val="clear" w:color="auto" w:fill="FFFFFF"/>
        </w:rPr>
        <w:t xml:space="preserve">Professor Samuel’s </w:t>
      </w:r>
      <w:r w:rsidR="003E0F60">
        <w:rPr>
          <w:rStyle w:val="normaltextrun"/>
          <w:rFonts w:cs="Calibri"/>
          <w:color w:val="000000"/>
          <w:shd w:val="clear" w:color="auto" w:fill="FFFFFF"/>
        </w:rPr>
        <w:t xml:space="preserve">14 </w:t>
      </w:r>
      <w:r w:rsidRPr="002F2FA3">
        <w:rPr>
          <w:rStyle w:val="normaltextrun"/>
          <w:rFonts w:cs="Calibri"/>
          <w:color w:val="000000"/>
          <w:shd w:val="clear" w:color="auto" w:fill="FFFFFF"/>
        </w:rPr>
        <w:t xml:space="preserve">recommendations, most </w:t>
      </w:r>
      <w:r>
        <w:rPr>
          <w:rStyle w:val="normaltextrun"/>
          <w:rFonts w:cs="Calibri"/>
          <w:color w:val="000000"/>
          <w:shd w:val="clear" w:color="auto" w:fill="FFFFFF"/>
        </w:rPr>
        <w:t>important</w:t>
      </w:r>
      <w:r w:rsidRPr="002F2FA3">
        <w:rPr>
          <w:rStyle w:val="normaltextrun"/>
          <w:rFonts w:cs="Calibri"/>
          <w:color w:val="000000"/>
          <w:shd w:val="clear" w:color="auto" w:fill="FFFFFF"/>
        </w:rPr>
        <w:t xml:space="preserve"> of which w</w:t>
      </w:r>
      <w:r>
        <w:rPr>
          <w:rStyle w:val="normaltextrun"/>
          <w:rFonts w:cs="Calibri"/>
          <w:color w:val="000000"/>
          <w:shd w:val="clear" w:color="auto" w:fill="FFFFFF"/>
        </w:rPr>
        <w:t>ere</w:t>
      </w:r>
      <w:r w:rsidRPr="002F2FA3">
        <w:rPr>
          <w:rStyle w:val="normaltextrun"/>
          <w:rFonts w:cs="Calibri"/>
          <w:color w:val="000000"/>
          <w:shd w:val="clear" w:color="auto" w:fill="FFFFFF"/>
        </w:rPr>
        <w:t xml:space="preserve"> changes to the dispute</w:t>
      </w:r>
      <w:r w:rsidR="00E65A2F">
        <w:rPr>
          <w:rStyle w:val="normaltextrun"/>
          <w:rFonts w:cs="Calibri"/>
          <w:color w:val="000000"/>
          <w:shd w:val="clear" w:color="auto" w:fill="FFFFFF"/>
        </w:rPr>
        <w:t>-</w:t>
      </w:r>
      <w:r w:rsidRPr="002F2FA3">
        <w:rPr>
          <w:rStyle w:val="normaltextrun"/>
          <w:rFonts w:cs="Calibri"/>
          <w:color w:val="000000"/>
          <w:shd w:val="clear" w:color="auto" w:fill="FFFFFF"/>
        </w:rPr>
        <w:t xml:space="preserve">resolution process following </w:t>
      </w:r>
      <w:r>
        <w:rPr>
          <w:rStyle w:val="normaltextrun"/>
          <w:rFonts w:cs="Calibri"/>
          <w:color w:val="000000"/>
          <w:shd w:val="clear" w:color="auto" w:fill="FFFFFF"/>
        </w:rPr>
        <w:t>a</w:t>
      </w:r>
      <w:r w:rsidRPr="002F2FA3">
        <w:rPr>
          <w:rStyle w:val="normaltextrun"/>
          <w:rFonts w:cs="Calibri"/>
          <w:color w:val="000000"/>
          <w:shd w:val="clear" w:color="auto" w:fill="FFFFFF"/>
        </w:rPr>
        <w:t xml:space="preserve"> finding that the </w:t>
      </w:r>
      <w:r>
        <w:rPr>
          <w:rStyle w:val="normaltextrun"/>
          <w:rFonts w:cs="Calibri"/>
          <w:color w:val="000000"/>
          <w:shd w:val="clear" w:color="auto" w:fill="FFFFFF"/>
        </w:rPr>
        <w:t>existing</w:t>
      </w:r>
      <w:r w:rsidRPr="002F2FA3">
        <w:rPr>
          <w:rStyle w:val="normaltextrun"/>
          <w:rFonts w:cs="Calibri"/>
          <w:color w:val="000000"/>
          <w:shd w:val="clear" w:color="auto" w:fill="FFFFFF"/>
        </w:rPr>
        <w:t xml:space="preserve"> dispute</w:t>
      </w:r>
      <w:r>
        <w:rPr>
          <w:rStyle w:val="normaltextrun"/>
          <w:rFonts w:cs="Calibri"/>
          <w:color w:val="000000"/>
          <w:shd w:val="clear" w:color="auto" w:fill="FFFFFF"/>
        </w:rPr>
        <w:t>-</w:t>
      </w:r>
      <w:r w:rsidRPr="002F2FA3">
        <w:rPr>
          <w:rStyle w:val="normaltextrun"/>
          <w:rFonts w:cs="Calibri"/>
          <w:color w:val="000000"/>
          <w:shd w:val="clear" w:color="auto" w:fill="FFFFFF"/>
        </w:rPr>
        <w:t>resolution provisions were ineffective and underutilised by suppliers. </w:t>
      </w:r>
      <w:r w:rsidRPr="002F2FA3">
        <w:rPr>
          <w:rStyle w:val="eop"/>
          <w:rFonts w:ascii="Calibri" w:hAnsi="Calibri" w:cs="Calibri"/>
          <w:color w:val="000000"/>
          <w:shd w:val="clear" w:color="auto" w:fill="FFFFFF"/>
        </w:rPr>
        <w:t> </w:t>
      </w:r>
    </w:p>
    <w:tbl>
      <w:tblPr>
        <w:tblStyle w:val="TableGrid"/>
        <w:tblW w:w="0" w:type="auto"/>
        <w:tblLook w:val="04A0" w:firstRow="1" w:lastRow="0" w:firstColumn="1" w:lastColumn="0" w:noHBand="0" w:noVBand="1"/>
      </w:tblPr>
      <w:tblGrid>
        <w:gridCol w:w="8956"/>
      </w:tblGrid>
      <w:tr w:rsidR="00814074" w14:paraId="0D031610" w14:textId="77777777" w:rsidTr="006A5B9A">
        <w:trPr>
          <w:cnfStyle w:val="100000000000" w:firstRow="1" w:lastRow="0" w:firstColumn="0" w:lastColumn="0" w:oddVBand="0" w:evenVBand="0" w:oddHBand="0" w:evenHBand="0" w:firstRowFirstColumn="0" w:firstRowLastColumn="0" w:lastRowFirstColumn="0" w:lastRowLastColumn="0"/>
          <w:trHeight w:val="2106"/>
        </w:trPr>
        <w:tc>
          <w:tcPr>
            <w:tcW w:w="8956" w:type="dxa"/>
          </w:tcPr>
          <w:p w14:paraId="08519662" w14:textId="77777777" w:rsidR="00814074" w:rsidRPr="00613BC1" w:rsidRDefault="00814074" w:rsidP="00556E36">
            <w:pPr>
              <w:pStyle w:val="BoxHeading"/>
              <w:spacing w:before="96" w:after="96"/>
              <w:rPr>
                <w:b/>
                <w:bCs/>
              </w:rPr>
            </w:pPr>
            <w:r>
              <w:rPr>
                <w:b/>
                <w:bCs/>
              </w:rPr>
              <w:t>Consultation Q</w:t>
            </w:r>
            <w:r w:rsidRPr="00613BC1">
              <w:rPr>
                <w:b/>
                <w:bCs/>
              </w:rPr>
              <w:t>uestion</w:t>
            </w:r>
            <w:r>
              <w:rPr>
                <w:b/>
                <w:bCs/>
              </w:rPr>
              <w:t>s</w:t>
            </w:r>
          </w:p>
          <w:p w14:paraId="3D02E2F3" w14:textId="77777777" w:rsidR="00814074" w:rsidRPr="00307A92" w:rsidRDefault="00814074" w:rsidP="00556E36">
            <w:pPr>
              <w:pStyle w:val="Bullet"/>
              <w:tabs>
                <w:tab w:val="left" w:pos="720"/>
              </w:tabs>
              <w:spacing w:beforeLines="40" w:before="96" w:afterLines="40" w:after="96"/>
              <w:ind w:left="520" w:hanging="520"/>
              <w:rPr>
                <w:b w:val="0"/>
                <w:bCs/>
                <w:sz w:val="22"/>
                <w:szCs w:val="22"/>
              </w:rPr>
            </w:pPr>
            <w:r w:rsidRPr="00307A92">
              <w:rPr>
                <w:b w:val="0"/>
                <w:bCs/>
                <w:sz w:val="22"/>
                <w:szCs w:val="22"/>
              </w:rPr>
              <w:t>Is it agreed that there is an imbalance in market power between supermarkets and all suppliers, or only some suppliers and/or some product types?</w:t>
            </w:r>
          </w:p>
          <w:p w14:paraId="32C96AB5" w14:textId="77777777" w:rsidR="00814074" w:rsidRPr="00307A92" w:rsidRDefault="00814074" w:rsidP="00556E36">
            <w:pPr>
              <w:pStyle w:val="Bullet"/>
              <w:tabs>
                <w:tab w:val="left" w:pos="720"/>
              </w:tabs>
              <w:spacing w:beforeLines="40" w:before="96" w:afterLines="40" w:after="96"/>
              <w:ind w:left="520" w:hanging="520"/>
              <w:rPr>
                <w:b w:val="0"/>
                <w:bCs/>
                <w:sz w:val="22"/>
                <w:szCs w:val="22"/>
              </w:rPr>
            </w:pPr>
            <w:r w:rsidRPr="00307A92">
              <w:rPr>
                <w:b w:val="0"/>
                <w:bCs/>
                <w:sz w:val="22"/>
                <w:szCs w:val="22"/>
              </w:rPr>
              <w:t>Should the same rules apply to all supplier interactions covered by the Code, or should additional requirements apply where a greater power imbalance exists?</w:t>
            </w:r>
          </w:p>
          <w:p w14:paraId="740F60D7" w14:textId="77777777" w:rsidR="00814074" w:rsidRPr="002A7EB1" w:rsidRDefault="00814074" w:rsidP="00556E36">
            <w:pPr>
              <w:pStyle w:val="Bullet"/>
              <w:numPr>
                <w:ilvl w:val="0"/>
                <w:numId w:val="0"/>
              </w:numPr>
              <w:tabs>
                <w:tab w:val="left" w:pos="720"/>
              </w:tabs>
              <w:spacing w:beforeLines="40" w:before="96" w:afterLines="40" w:after="96"/>
              <w:ind w:left="520"/>
              <w:rPr>
                <w:rFonts w:ascii="Calibri" w:hAnsi="Calibri" w:cs="Calibri"/>
                <w:b w:val="0"/>
                <w:bCs/>
                <w:color w:val="000000"/>
                <w:shd w:val="clear" w:color="auto" w:fill="FFFFFF"/>
              </w:rPr>
            </w:pPr>
          </w:p>
        </w:tc>
      </w:tr>
    </w:tbl>
    <w:p w14:paraId="4A722453" w14:textId="77777777" w:rsidR="00814074" w:rsidRDefault="00814074" w:rsidP="00814074">
      <w:pPr>
        <w:pStyle w:val="Heading2"/>
      </w:pPr>
      <w:bookmarkStart w:id="9" w:name="_Toc157700841"/>
      <w:r>
        <w:t>Stakeholder views on the Code</w:t>
      </w:r>
      <w:bookmarkEnd w:id="9"/>
    </w:p>
    <w:p w14:paraId="17E86D0E" w14:textId="39784588" w:rsidR="00814074" w:rsidRDefault="00814074" w:rsidP="00814074">
      <w:r w:rsidRPr="000429F1">
        <w:t>Many suppliers of food and groceries and their representative organisations have complained that, despite the Code’s existence, they have not been receiving fair prices for the groceries they provide to the major supermarkets.</w:t>
      </w:r>
      <w:r>
        <w:t xml:space="preserve"> </w:t>
      </w:r>
      <w:r w:rsidRPr="00975EC4">
        <w:t xml:space="preserve">Bill Bulmer, Chairman of </w:t>
      </w:r>
      <w:proofErr w:type="spellStart"/>
      <w:r w:rsidRPr="00975EC4">
        <w:t>Ausveg</w:t>
      </w:r>
      <w:proofErr w:type="spellEnd"/>
      <w:r w:rsidRPr="00975EC4">
        <w:t xml:space="preserve">, said it had “very serious concerns” about the </w:t>
      </w:r>
      <w:r w:rsidR="00EB6E86">
        <w:t>C</w:t>
      </w:r>
      <w:r w:rsidRPr="00975EC4">
        <w:t>ode</w:t>
      </w:r>
      <w:r>
        <w:t xml:space="preserve"> and added that:</w:t>
      </w:r>
    </w:p>
    <w:p w14:paraId="4AAC70F3" w14:textId="3A5164FD" w:rsidR="00814074" w:rsidRDefault="00814074" w:rsidP="00814074">
      <w:pPr>
        <w:ind w:left="720"/>
        <w:rPr>
          <w:i/>
          <w:iCs/>
        </w:rPr>
      </w:pPr>
      <w:r w:rsidRPr="00CD196F">
        <w:rPr>
          <w:i/>
          <w:iCs/>
        </w:rPr>
        <w:t>“Fundamentally, without a fair and sustainable price paid to growers at the farm gate, you are going to see vegetable growers going out of business in droves, which ultimately will just result in higher retail prices.”</w:t>
      </w:r>
      <w:r w:rsidR="006D180F">
        <w:rPr>
          <w:i/>
          <w:iCs/>
        </w:rPr>
        <w:t xml:space="preserve"> </w:t>
      </w:r>
      <w:r w:rsidRPr="006D180F">
        <w:rPr>
          <w:rStyle w:val="FootnoteReference"/>
          <w:sz w:val="22"/>
          <w:szCs w:val="22"/>
          <w:vertAlign w:val="superscript"/>
        </w:rPr>
        <w:footnoteReference w:id="5"/>
      </w:r>
    </w:p>
    <w:p w14:paraId="54760353" w14:textId="77777777" w:rsidR="00814074" w:rsidRPr="00FE563E" w:rsidRDefault="00814074" w:rsidP="00814074">
      <w:pPr>
        <w:pStyle w:val="NormalWeb"/>
        <w:keepNext/>
        <w:shd w:val="clear" w:color="auto" w:fill="FFFFFF"/>
        <w:spacing w:before="0" w:beforeAutospacing="0" w:after="15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Pr="00FE563E">
        <w:rPr>
          <w:rFonts w:asciiTheme="minorHAnsi" w:hAnsiTheme="minorHAnsi" w:cstheme="minorHAnsi"/>
          <w:color w:val="000000"/>
          <w:sz w:val="22"/>
          <w:szCs w:val="22"/>
        </w:rPr>
        <w:t xml:space="preserve">National Farmers’ Federation </w:t>
      </w:r>
      <w:r>
        <w:rPr>
          <w:rFonts w:asciiTheme="minorHAnsi" w:hAnsiTheme="minorHAnsi" w:cstheme="minorHAnsi"/>
          <w:color w:val="000000"/>
          <w:sz w:val="22"/>
          <w:szCs w:val="22"/>
        </w:rPr>
        <w:t xml:space="preserve">(NFF) </w:t>
      </w:r>
      <w:r w:rsidRPr="00624F3F">
        <w:rPr>
          <w:rFonts w:asciiTheme="minorHAnsi" w:hAnsiTheme="minorHAnsi" w:cstheme="minorHAnsi"/>
          <w:color w:val="000000"/>
          <w:sz w:val="22"/>
          <w:szCs w:val="22"/>
        </w:rPr>
        <w:t>President, </w:t>
      </w:r>
      <w:r w:rsidRPr="00FA2909">
        <w:rPr>
          <w:rStyle w:val="Strong"/>
          <w:rFonts w:asciiTheme="minorHAnsi" w:hAnsiTheme="minorHAnsi" w:cstheme="minorHAnsi"/>
          <w:b w:val="0"/>
          <w:bCs w:val="0"/>
          <w:color w:val="000000"/>
          <w:sz w:val="22"/>
          <w:szCs w:val="22"/>
        </w:rPr>
        <w:t xml:space="preserve">David </w:t>
      </w:r>
      <w:proofErr w:type="spellStart"/>
      <w:r w:rsidRPr="00FA2909">
        <w:rPr>
          <w:rStyle w:val="Strong"/>
          <w:rFonts w:asciiTheme="minorHAnsi" w:hAnsiTheme="minorHAnsi" w:cstheme="minorHAnsi"/>
          <w:b w:val="0"/>
          <w:bCs w:val="0"/>
          <w:color w:val="000000"/>
          <w:sz w:val="22"/>
          <w:szCs w:val="22"/>
        </w:rPr>
        <w:t>Jochinke</w:t>
      </w:r>
      <w:proofErr w:type="spellEnd"/>
      <w:r w:rsidRPr="00FA2909">
        <w:rPr>
          <w:rStyle w:val="Strong"/>
          <w:rFonts w:asciiTheme="minorHAnsi" w:hAnsiTheme="minorHAnsi" w:cstheme="minorHAnsi"/>
          <w:b w:val="0"/>
          <w:bCs w:val="0"/>
          <w:color w:val="000000"/>
          <w:sz w:val="22"/>
          <w:szCs w:val="22"/>
        </w:rPr>
        <w:t>,</w:t>
      </w:r>
      <w:r w:rsidRPr="00624F3F">
        <w:rPr>
          <w:rFonts w:asciiTheme="minorHAnsi" w:hAnsiTheme="minorHAnsi" w:cstheme="minorHAnsi"/>
          <w:color w:val="000000"/>
          <w:sz w:val="22"/>
          <w:szCs w:val="22"/>
        </w:rPr>
        <w:t> </w:t>
      </w:r>
      <w:r w:rsidRPr="00FE563E">
        <w:rPr>
          <w:rFonts w:asciiTheme="minorHAnsi" w:hAnsiTheme="minorHAnsi" w:cstheme="minorHAnsi"/>
          <w:color w:val="000000"/>
          <w:sz w:val="22"/>
          <w:szCs w:val="22"/>
        </w:rPr>
        <w:t>has said:</w:t>
      </w:r>
    </w:p>
    <w:p w14:paraId="4E6A7A51" w14:textId="2C847FBD" w:rsidR="00814074" w:rsidRPr="00BE33A8" w:rsidRDefault="00814074" w:rsidP="00814074">
      <w:pPr>
        <w:pStyle w:val="NormalWeb"/>
        <w:shd w:val="clear" w:color="auto" w:fill="FFFFFF"/>
        <w:spacing w:before="0" w:beforeAutospacing="0" w:after="150" w:afterAutospacing="0"/>
        <w:ind w:left="720"/>
        <w:rPr>
          <w:rFonts w:cstheme="minorHAnsi"/>
          <w:color w:val="000000"/>
          <w:szCs w:val="22"/>
        </w:rPr>
      </w:pPr>
      <w:r w:rsidRPr="00FE563E">
        <w:rPr>
          <w:rFonts w:asciiTheme="minorHAnsi" w:hAnsiTheme="minorHAnsi" w:cstheme="minorHAnsi"/>
          <w:color w:val="000000"/>
          <w:sz w:val="22"/>
          <w:szCs w:val="22"/>
        </w:rPr>
        <w:t>“</w:t>
      </w:r>
      <w:r w:rsidRPr="00BE33A8">
        <w:rPr>
          <w:rFonts w:asciiTheme="minorHAnsi" w:hAnsiTheme="minorHAnsi" w:cstheme="minorHAnsi"/>
          <w:i/>
          <w:iCs/>
          <w:color w:val="000000"/>
          <w:sz w:val="22"/>
          <w:szCs w:val="22"/>
        </w:rPr>
        <w:t xml:space="preserve">The code is failing farmers and we’ve said for a long time it should be made mandatory. We need to get to the bottom of why there’s a growing gap between what farmers get paid and </w:t>
      </w:r>
      <w:r w:rsidRPr="00BE33A8">
        <w:rPr>
          <w:rFonts w:asciiTheme="minorHAnsi" w:hAnsiTheme="minorHAnsi" w:cstheme="minorHAnsi"/>
          <w:i/>
          <w:iCs/>
          <w:color w:val="000000"/>
          <w:sz w:val="22"/>
          <w:szCs w:val="22"/>
        </w:rPr>
        <w:lastRenderedPageBreak/>
        <w:t>what produce is being sold for on supermarket shelves. It’s not just supermarkets we need answers from, we need to know who else in the supply chain is clipping the ticket and sending food prices skywards.</w:t>
      </w:r>
      <w:r w:rsidRPr="00FE563E">
        <w:rPr>
          <w:rFonts w:asciiTheme="minorHAnsi" w:hAnsiTheme="minorHAnsi" w:cstheme="minorHAnsi"/>
          <w:color w:val="000000"/>
          <w:sz w:val="22"/>
          <w:szCs w:val="22"/>
        </w:rPr>
        <w:t>”</w:t>
      </w:r>
      <w:r w:rsidR="000D07C1">
        <w:rPr>
          <w:rFonts w:asciiTheme="minorHAnsi" w:hAnsiTheme="minorHAnsi" w:cstheme="minorHAnsi"/>
          <w:color w:val="000000"/>
          <w:sz w:val="22"/>
          <w:szCs w:val="22"/>
        </w:rPr>
        <w:t xml:space="preserve"> </w:t>
      </w:r>
      <w:r w:rsidRPr="00D3163B">
        <w:rPr>
          <w:rStyle w:val="FootnoteReference"/>
          <w:rFonts w:asciiTheme="minorHAnsi" w:hAnsiTheme="minorHAnsi" w:cstheme="minorHAnsi"/>
          <w:color w:val="000000"/>
          <w:sz w:val="22"/>
          <w:szCs w:val="22"/>
          <w:vertAlign w:val="superscript"/>
        </w:rPr>
        <w:footnoteReference w:id="6"/>
      </w:r>
    </w:p>
    <w:p w14:paraId="65E3563B" w14:textId="77777777" w:rsidR="00814074" w:rsidRDefault="00814074" w:rsidP="00814074">
      <w:pPr>
        <w:keepNext/>
      </w:pPr>
      <w:r w:rsidRPr="009D6352">
        <w:t>CEO of the Australian Food and Grocery Council,</w:t>
      </w:r>
      <w:r>
        <w:t xml:space="preserve"> </w:t>
      </w:r>
      <w:r w:rsidRPr="009D6352">
        <w:t xml:space="preserve">Tanya Barden, </w:t>
      </w:r>
      <w:r>
        <w:t xml:space="preserve">expressed a more positive view of the Code and argued that: </w:t>
      </w:r>
    </w:p>
    <w:p w14:paraId="5D700959" w14:textId="45420EC7" w:rsidR="00814074" w:rsidRPr="0093399A" w:rsidRDefault="00814074" w:rsidP="00814074">
      <w:pPr>
        <w:ind w:left="720"/>
        <w:rPr>
          <w:bCs/>
          <w:i/>
          <w:iCs/>
        </w:rPr>
      </w:pPr>
      <w:r w:rsidRPr="0093399A">
        <w:rPr>
          <w:i/>
          <w:iCs/>
        </w:rPr>
        <w:t xml:space="preserve">“The </w:t>
      </w:r>
      <w:r w:rsidRPr="0093399A">
        <w:rPr>
          <w:bCs/>
          <w:i/>
          <w:iCs/>
        </w:rPr>
        <w:t>relationship between suppliers and retailers has improved since the Code came into effect</w:t>
      </w:r>
      <w:r w:rsidR="000D07C1">
        <w:rPr>
          <w:bCs/>
          <w:i/>
          <w:iCs/>
        </w:rPr>
        <w:t>.</w:t>
      </w:r>
      <w:r w:rsidRPr="0093399A">
        <w:rPr>
          <w:bCs/>
          <w:i/>
          <w:iCs/>
        </w:rPr>
        <w:t>”</w:t>
      </w:r>
      <w:r w:rsidR="000D07C1">
        <w:rPr>
          <w:bCs/>
          <w:i/>
          <w:iCs/>
        </w:rPr>
        <w:t xml:space="preserve"> </w:t>
      </w:r>
      <w:r w:rsidRPr="00D3163B">
        <w:rPr>
          <w:rStyle w:val="FootnoteReference"/>
          <w:bCs/>
          <w:sz w:val="22"/>
          <w:szCs w:val="24"/>
          <w:vertAlign w:val="superscript"/>
        </w:rPr>
        <w:footnoteReference w:id="7"/>
      </w:r>
    </w:p>
    <w:p w14:paraId="2E237519" w14:textId="77777777" w:rsidR="00814074" w:rsidRDefault="00814074" w:rsidP="00814074">
      <w:pPr>
        <w:pStyle w:val="Heading2"/>
        <w:rPr>
          <w:b/>
          <w:color w:val="B2B2B2" w:themeColor="accent2"/>
          <w:sz w:val="28"/>
          <w:szCs w:val="26"/>
        </w:rPr>
      </w:pPr>
      <w:bookmarkStart w:id="10" w:name="_Toc157700842"/>
      <w:r w:rsidRPr="00942D60">
        <w:t>Operation of the Code</w:t>
      </w:r>
      <w:bookmarkEnd w:id="10"/>
    </w:p>
    <w:p w14:paraId="21500ACA" w14:textId="77777777" w:rsidR="00814074" w:rsidRDefault="00814074" w:rsidP="00814074">
      <w:pPr>
        <w:pStyle w:val="Heading3"/>
      </w:pPr>
      <w:bookmarkStart w:id="11" w:name="_Toc157700843"/>
      <w:r>
        <w:t>Scope and application</w:t>
      </w:r>
      <w:bookmarkEnd w:id="11"/>
      <w:r>
        <w:t xml:space="preserve"> </w:t>
      </w:r>
    </w:p>
    <w:p w14:paraId="16BA9E88" w14:textId="4B65174B" w:rsidR="00814074" w:rsidRDefault="00814074" w:rsidP="00814074">
      <w:r>
        <w:t xml:space="preserve">The Code provides that a supermarket can agree to be bound by </w:t>
      </w:r>
      <w:r w:rsidR="00B74C88">
        <w:t>it</w:t>
      </w:r>
      <w:r>
        <w:t xml:space="preserve"> by giving written notice to the ACCC.</w:t>
      </w:r>
    </w:p>
    <w:p w14:paraId="10609543" w14:textId="7CE447B9" w:rsidR="00814074" w:rsidRPr="00AB370B" w:rsidRDefault="00814074" w:rsidP="00814074">
      <w:r>
        <w:t xml:space="preserve">Australia’s four major supermarket chains are signatories to the Code and have agreed to be bound by it. Grocery suppliers, </w:t>
      </w:r>
      <w:r w:rsidRPr="00AB370B">
        <w:t>which include food manufacturers and farmers</w:t>
      </w:r>
      <w:r>
        <w:t xml:space="preserve">, who supply grocery products to a Code signatory, do not need to sign up to the Code since they are automatically covered by it. </w:t>
      </w:r>
    </w:p>
    <w:p w14:paraId="644AD440" w14:textId="77777777" w:rsidR="00814074" w:rsidRDefault="00814074" w:rsidP="00814074">
      <w:r>
        <w:t xml:space="preserve">The Code covers suppliers in direct grocery supply relationships with a retailer or wholesaler. It does not regulate the entire supply chain, including the relationship between a processor, a </w:t>
      </w:r>
      <w:proofErr w:type="gramStart"/>
      <w:r>
        <w:t>wholesaler</w:t>
      </w:r>
      <w:proofErr w:type="gramEnd"/>
      <w:r>
        <w:t xml:space="preserve"> and a retailer.</w:t>
      </w:r>
    </w:p>
    <w:p w14:paraId="25BD7BD6" w14:textId="77777777" w:rsidR="00814074" w:rsidRDefault="00814074" w:rsidP="00814074">
      <w:r>
        <w:t>The Code’s provisions deal with a defined list of grocery products when regulating a grocery supply agreement.  This list includes fresh produce, non-alcoholic drinks, household goods, clothing, and tobacco and tobacco products, but excludes alcoholic beverages.</w:t>
      </w:r>
    </w:p>
    <w:p w14:paraId="71447963" w14:textId="30D0C5A7" w:rsidR="00814074" w:rsidRDefault="00814074" w:rsidP="00814074">
      <w:pPr>
        <w:rPr>
          <w:rStyle w:val="Advisorytext"/>
          <w:color w:val="000000" w:themeColor="text1"/>
        </w:rPr>
      </w:pPr>
      <w:r>
        <w:t xml:space="preserve">The 2018 Samuel review of the Code recommended that the coverage of products be unchanged, with the ongoing exclusion of alcoholic drinks based, among other things, on the high level of export, particularly of wine. That said, market </w:t>
      </w:r>
      <w:r>
        <w:rPr>
          <w:rStyle w:val="Advisorytext"/>
          <w:color w:val="000000" w:themeColor="text1"/>
        </w:rPr>
        <w:t xml:space="preserve">concentration in the liquor retail </w:t>
      </w:r>
      <w:r w:rsidR="00C33451">
        <w:rPr>
          <w:rStyle w:val="Advisorytext"/>
          <w:color w:val="000000" w:themeColor="text1"/>
        </w:rPr>
        <w:t>industry</w:t>
      </w:r>
      <w:r>
        <w:rPr>
          <w:rStyle w:val="Advisorytext"/>
          <w:color w:val="000000" w:themeColor="text1"/>
        </w:rPr>
        <w:t xml:space="preserve"> is high, with the four-largest retailers (Endeavour Group, Coles, </w:t>
      </w:r>
      <w:proofErr w:type="gramStart"/>
      <w:r>
        <w:rPr>
          <w:rStyle w:val="Advisorytext"/>
          <w:color w:val="000000" w:themeColor="text1"/>
        </w:rPr>
        <w:t>Metcash</w:t>
      </w:r>
      <w:proofErr w:type="gramEnd"/>
      <w:r>
        <w:rPr>
          <w:rStyle w:val="Advisorytext"/>
          <w:color w:val="000000" w:themeColor="text1"/>
        </w:rPr>
        <w:t xml:space="preserve"> and Aldi) holding a market share of almost 70 per cent, with Endeavour and Coles alone having 55 per cent market share.</w:t>
      </w:r>
      <w:r w:rsidRPr="00B5398E">
        <w:rPr>
          <w:rStyle w:val="FootnoteReference"/>
          <w:sz w:val="22"/>
          <w:szCs w:val="24"/>
          <w:vertAlign w:val="superscript"/>
        </w:rPr>
        <w:footnoteReference w:id="8"/>
      </w:r>
      <w:r w:rsidRPr="00B5398E">
        <w:rPr>
          <w:rStyle w:val="Advisorytext"/>
          <w:color w:val="000000" w:themeColor="text1"/>
          <w:sz w:val="28"/>
          <w:szCs w:val="24"/>
          <w:vertAlign w:val="superscript"/>
        </w:rPr>
        <w:t xml:space="preserve">  </w:t>
      </w:r>
    </w:p>
    <w:p w14:paraId="6AF1B117" w14:textId="77777777" w:rsidR="00814074" w:rsidRDefault="00814074" w:rsidP="00814074">
      <w:r>
        <w:rPr>
          <w:rStyle w:val="Advisorytext"/>
          <w:color w:val="000000" w:themeColor="text1"/>
        </w:rPr>
        <w:t>The ACCC’s 2019 Winegrape Market Study noted that winemakers wholesale into highly concentrated domestic retail markets, and domestic wholesale prices for wine are constrained by the bargaining power of major supermarkets.</w:t>
      </w:r>
      <w:r w:rsidRPr="00B5398E">
        <w:rPr>
          <w:rStyle w:val="FootnoteReference"/>
          <w:sz w:val="22"/>
          <w:szCs w:val="24"/>
          <w:vertAlign w:val="superscript"/>
        </w:rPr>
        <w:footnoteReference w:id="9"/>
      </w:r>
      <w:r>
        <w:rPr>
          <w:rStyle w:val="Advisorytext"/>
          <w:color w:val="000000" w:themeColor="text1"/>
        </w:rPr>
        <w:t xml:space="preserve"> In 2021, the ACCC conducted a follow-up review to the Winegrape Market Study which noted that the COVID-19 pandemic had caused wine retail sales to </w:t>
      </w:r>
      <w:r>
        <w:rPr>
          <w:rStyle w:val="Advisorytext"/>
          <w:color w:val="000000" w:themeColor="text1"/>
        </w:rPr>
        <w:lastRenderedPageBreak/>
        <w:t>shift from hospitality and cellar doors to the retail sector, and that the retail sector was highly concentrated.</w:t>
      </w:r>
      <w:r w:rsidRPr="00A95972">
        <w:rPr>
          <w:rStyle w:val="FootnoteReference"/>
          <w:sz w:val="22"/>
          <w:szCs w:val="24"/>
          <w:vertAlign w:val="superscript"/>
        </w:rPr>
        <w:footnoteReference w:id="10"/>
      </w:r>
      <w:r>
        <w:rPr>
          <w:rStyle w:val="Advisorytext"/>
          <w:color w:val="000000" w:themeColor="text1"/>
        </w:rPr>
        <w:t xml:space="preserve"> </w:t>
      </w:r>
    </w:p>
    <w:tbl>
      <w:tblPr>
        <w:tblStyle w:val="TableGrid"/>
        <w:tblW w:w="0" w:type="auto"/>
        <w:tblLook w:val="04A0" w:firstRow="1" w:lastRow="0" w:firstColumn="1" w:lastColumn="0" w:noHBand="0" w:noVBand="1"/>
      </w:tblPr>
      <w:tblGrid>
        <w:gridCol w:w="8956"/>
      </w:tblGrid>
      <w:tr w:rsidR="00814074" w14:paraId="62ABB3F8" w14:textId="77777777" w:rsidTr="00556E36">
        <w:trPr>
          <w:cnfStyle w:val="100000000000" w:firstRow="1" w:lastRow="0" w:firstColumn="0" w:lastColumn="0" w:oddVBand="0" w:evenVBand="0" w:oddHBand="0" w:evenHBand="0" w:firstRowFirstColumn="0" w:firstRowLastColumn="0" w:lastRowFirstColumn="0" w:lastRowLastColumn="0"/>
          <w:trHeight w:val="2269"/>
        </w:trPr>
        <w:tc>
          <w:tcPr>
            <w:tcW w:w="8956" w:type="dxa"/>
          </w:tcPr>
          <w:p w14:paraId="5523AF5F" w14:textId="77777777" w:rsidR="00814074" w:rsidRPr="00613BC1" w:rsidRDefault="00814074" w:rsidP="00556E36">
            <w:pPr>
              <w:pStyle w:val="BoxHeading"/>
              <w:spacing w:before="96" w:after="96"/>
              <w:rPr>
                <w:b/>
                <w:bCs/>
              </w:rPr>
            </w:pPr>
            <w:r>
              <w:rPr>
                <w:b/>
                <w:bCs/>
              </w:rPr>
              <w:t>Consultation Q</w:t>
            </w:r>
            <w:r w:rsidRPr="00613BC1">
              <w:rPr>
                <w:b/>
                <w:bCs/>
              </w:rPr>
              <w:t>uestion</w:t>
            </w:r>
            <w:r>
              <w:rPr>
                <w:b/>
                <w:bCs/>
              </w:rPr>
              <w:t>s</w:t>
            </w:r>
          </w:p>
          <w:p w14:paraId="550BBEA1" w14:textId="77777777" w:rsidR="00814074" w:rsidRPr="006944F4" w:rsidRDefault="00814074" w:rsidP="00556E36">
            <w:pPr>
              <w:pStyle w:val="Bullet"/>
              <w:tabs>
                <w:tab w:val="left" w:pos="720"/>
              </w:tabs>
              <w:spacing w:beforeLines="40" w:before="96" w:afterLines="40" w:after="96"/>
              <w:ind w:left="520" w:hanging="520"/>
              <w:rPr>
                <w:b w:val="0"/>
                <w:bCs/>
                <w:sz w:val="22"/>
                <w:szCs w:val="22"/>
              </w:rPr>
            </w:pPr>
            <w:r w:rsidRPr="006944F4">
              <w:rPr>
                <w:b w:val="0"/>
                <w:bCs/>
                <w:sz w:val="22"/>
                <w:szCs w:val="22"/>
              </w:rPr>
              <w:t xml:space="preserve">Should the Code be extended to cover other aspects of the food and grocery supply chain? </w:t>
            </w:r>
          </w:p>
          <w:p w14:paraId="2A476F7D" w14:textId="77777777" w:rsidR="00814074" w:rsidRPr="006944F4" w:rsidRDefault="00814074" w:rsidP="00556E36">
            <w:pPr>
              <w:pStyle w:val="Bullet"/>
              <w:tabs>
                <w:tab w:val="left" w:pos="720"/>
              </w:tabs>
              <w:spacing w:beforeLines="40" w:before="96" w:afterLines="40" w:after="96"/>
              <w:ind w:left="520" w:hanging="520"/>
              <w:rPr>
                <w:b w:val="0"/>
                <w:bCs/>
                <w:sz w:val="22"/>
                <w:szCs w:val="22"/>
              </w:rPr>
            </w:pPr>
            <w:r w:rsidRPr="006944F4">
              <w:rPr>
                <w:b w:val="0"/>
                <w:bCs/>
                <w:sz w:val="22"/>
                <w:szCs w:val="22"/>
              </w:rPr>
              <w:t>Should some or all alcoholic beverages be included in the scope of the Code?</w:t>
            </w:r>
          </w:p>
          <w:p w14:paraId="118CD3F2" w14:textId="15E224AA" w:rsidR="00814074" w:rsidRPr="00265DDB" w:rsidRDefault="00814074" w:rsidP="00556E36">
            <w:pPr>
              <w:pStyle w:val="Bullet"/>
              <w:tabs>
                <w:tab w:val="left" w:pos="720"/>
              </w:tabs>
              <w:spacing w:beforeLines="40" w:before="96" w:afterLines="40" w:after="96"/>
              <w:ind w:left="520" w:hanging="520"/>
              <w:rPr>
                <w:rFonts w:ascii="Calibri" w:hAnsi="Calibri" w:cs="Calibri"/>
                <w:b w:val="0"/>
                <w:color w:val="000000"/>
                <w:shd w:val="clear" w:color="auto" w:fill="FFFFFF"/>
              </w:rPr>
            </w:pPr>
            <w:r w:rsidRPr="006944F4">
              <w:rPr>
                <w:b w:val="0"/>
                <w:bCs/>
                <w:sz w:val="22"/>
                <w:szCs w:val="22"/>
              </w:rPr>
              <w:t>Is the coverage of the Code to the current signatories sufficient to address bargaining power issues across the supply chain? For instance, should the Code’s signatories be extended to more wholesalers that sit between the retailers and producers of food and grocery products</w:t>
            </w:r>
            <w:r w:rsidR="008C081F" w:rsidRPr="006944F4">
              <w:rPr>
                <w:b w:val="0"/>
                <w:bCs/>
                <w:sz w:val="22"/>
                <w:szCs w:val="22"/>
              </w:rPr>
              <w:t>?</w:t>
            </w:r>
          </w:p>
        </w:tc>
      </w:tr>
    </w:tbl>
    <w:p w14:paraId="70240EC0" w14:textId="77777777" w:rsidR="00814074" w:rsidRDefault="00814074" w:rsidP="00814074">
      <w:pPr>
        <w:pStyle w:val="Heading3"/>
      </w:pPr>
      <w:bookmarkStart w:id="12" w:name="_Toc157700844"/>
      <w:r>
        <w:t>Code provisions</w:t>
      </w:r>
      <w:bookmarkEnd w:id="12"/>
      <w:r>
        <w:t xml:space="preserve"> </w:t>
      </w:r>
    </w:p>
    <w:p w14:paraId="3256DDE7" w14:textId="77777777" w:rsidR="00814074" w:rsidRDefault="00814074" w:rsidP="00814074">
      <w:r>
        <w:t xml:space="preserve">The Code sets out minimum obligations and behavioural standards for retail and wholesale signatories that are bound by the Code in relation to their conduct with their suppliers. </w:t>
      </w:r>
    </w:p>
    <w:p w14:paraId="498BAE06" w14:textId="70CF09E8" w:rsidR="00814074" w:rsidRDefault="00814074" w:rsidP="00814074">
      <w:r>
        <w:t>Guiding these minimum standards is the primary obligation on signatories to deal with suppliers lawfully and in good faith. The Code provides guidance on behaviour that reflects good faith, such as acting honestly</w:t>
      </w:r>
      <w:r w:rsidR="008C081F">
        <w:t>,</w:t>
      </w:r>
      <w:r>
        <w:t xml:space="preserve"> and not unreasonably, recklessly or with ulterior motives.</w:t>
      </w:r>
      <w:r w:rsidRPr="00C14B78">
        <w:rPr>
          <w:rStyle w:val="FootnoteReference"/>
          <w:sz w:val="22"/>
          <w:szCs w:val="24"/>
          <w:vertAlign w:val="superscript"/>
        </w:rPr>
        <w:footnoteReference w:id="11"/>
      </w:r>
    </w:p>
    <w:p w14:paraId="0EA0047C" w14:textId="77777777" w:rsidR="00814074" w:rsidRDefault="00814074" w:rsidP="00814074">
      <w:r>
        <w:t xml:space="preserve">Beyond the overarching principle to act in good faith, the Code’s provisions set specific standards for: </w:t>
      </w:r>
    </w:p>
    <w:p w14:paraId="2BD8B688" w14:textId="77777777" w:rsidR="00814074" w:rsidRDefault="00814074" w:rsidP="00814074">
      <w:pPr>
        <w:pStyle w:val="OutlineNumbered3"/>
        <w:numPr>
          <w:ilvl w:val="0"/>
          <w:numId w:val="20"/>
        </w:numPr>
        <w:spacing w:after="120"/>
      </w:pPr>
      <w:r>
        <w:t xml:space="preserve">Grocery supply </w:t>
      </w:r>
      <w:proofErr w:type="gramStart"/>
      <w:r>
        <w:t>agreements;</w:t>
      </w:r>
      <w:proofErr w:type="gramEnd"/>
      <w:r>
        <w:t xml:space="preserve"> </w:t>
      </w:r>
    </w:p>
    <w:p w14:paraId="33DF3CB3" w14:textId="77777777" w:rsidR="00814074" w:rsidRDefault="00814074" w:rsidP="00814074">
      <w:pPr>
        <w:pStyle w:val="OutlineNumbered3"/>
        <w:numPr>
          <w:ilvl w:val="0"/>
          <w:numId w:val="20"/>
        </w:numPr>
        <w:spacing w:after="120"/>
      </w:pPr>
      <w:r>
        <w:t xml:space="preserve">General conduct; and </w:t>
      </w:r>
    </w:p>
    <w:p w14:paraId="162868D6" w14:textId="77777777" w:rsidR="00814074" w:rsidRDefault="00814074" w:rsidP="00814074">
      <w:pPr>
        <w:pStyle w:val="OutlineNumbered3"/>
        <w:numPr>
          <w:ilvl w:val="0"/>
          <w:numId w:val="20"/>
        </w:numPr>
        <w:spacing w:after="120"/>
      </w:pPr>
      <w:r>
        <w:t xml:space="preserve">Compliance.  </w:t>
      </w:r>
    </w:p>
    <w:p w14:paraId="274A89FF" w14:textId="77777777" w:rsidR="00814074" w:rsidRDefault="00814074" w:rsidP="00814074">
      <w:r>
        <w:t>The standards for grocery supply agreements</w:t>
      </w:r>
      <w:r w:rsidRPr="00C14B78">
        <w:rPr>
          <w:rStyle w:val="FootnoteReference"/>
          <w:sz w:val="22"/>
          <w:szCs w:val="24"/>
          <w:vertAlign w:val="superscript"/>
        </w:rPr>
        <w:footnoteReference w:id="12"/>
      </w:r>
      <w:r>
        <w:t xml:space="preserve"> set out the requirement for agreements to be in writing and retained, guidance on matters to be covered by the agreement, and rules regarding unilateral and retrospective variations to grocery supply agreements.</w:t>
      </w:r>
      <w:r w:rsidRPr="00C14B78">
        <w:rPr>
          <w:rStyle w:val="FootnoteReference"/>
          <w:sz w:val="22"/>
          <w:szCs w:val="24"/>
          <w:vertAlign w:val="superscript"/>
        </w:rPr>
        <w:footnoteReference w:id="13"/>
      </w:r>
    </w:p>
    <w:p w14:paraId="719CD493" w14:textId="77777777" w:rsidR="00814074" w:rsidRDefault="00814074" w:rsidP="00814074">
      <w:pPr>
        <w:keepNext/>
      </w:pPr>
      <w:r>
        <w:t xml:space="preserve">Regarding general conduct, the Code sets out minimum standards guiding the practical aspects of the relationship between signatories and their suppliers. This includes rules in relation to: </w:t>
      </w:r>
    </w:p>
    <w:p w14:paraId="2893FC8C" w14:textId="77777777" w:rsidR="00814074" w:rsidRDefault="1FD19687" w:rsidP="00814074">
      <w:pPr>
        <w:pStyle w:val="Dash"/>
        <w:keepNext/>
        <w:tabs>
          <w:tab w:val="clear" w:pos="804"/>
        </w:tabs>
      </w:pPr>
      <w:r>
        <w:t xml:space="preserve">payment arrangements, </w:t>
      </w:r>
    </w:p>
    <w:p w14:paraId="504C4520" w14:textId="77777777" w:rsidR="00814074" w:rsidRDefault="1FD19687" w:rsidP="00814074">
      <w:pPr>
        <w:pStyle w:val="Dash"/>
        <w:tabs>
          <w:tab w:val="clear" w:pos="804"/>
        </w:tabs>
      </w:pPr>
      <w:r>
        <w:t xml:space="preserve">delisting products, </w:t>
      </w:r>
    </w:p>
    <w:p w14:paraId="1904B44B" w14:textId="77777777" w:rsidR="00814074" w:rsidRDefault="1FD19687" w:rsidP="00814074">
      <w:pPr>
        <w:pStyle w:val="Dash"/>
        <w:tabs>
          <w:tab w:val="clear" w:pos="804"/>
        </w:tabs>
      </w:pPr>
      <w:r>
        <w:t xml:space="preserve">funding promotions, </w:t>
      </w:r>
    </w:p>
    <w:p w14:paraId="648568A7" w14:textId="77777777" w:rsidR="00814074" w:rsidRDefault="1FD19687" w:rsidP="00814074">
      <w:pPr>
        <w:pStyle w:val="Dash"/>
        <w:tabs>
          <w:tab w:val="clear" w:pos="804"/>
        </w:tabs>
      </w:pPr>
      <w:r>
        <w:t xml:space="preserve">fresh produce standards and quality specifications, </w:t>
      </w:r>
    </w:p>
    <w:p w14:paraId="6D0CAC7A" w14:textId="77777777" w:rsidR="00814074" w:rsidRDefault="1FD19687" w:rsidP="00814074">
      <w:pPr>
        <w:pStyle w:val="Dash"/>
        <w:tabs>
          <w:tab w:val="clear" w:pos="804"/>
        </w:tabs>
      </w:pPr>
      <w:r>
        <w:lastRenderedPageBreak/>
        <w:t>changes to supply chain procedures,</w:t>
      </w:r>
    </w:p>
    <w:p w14:paraId="1A41AE0C" w14:textId="77777777" w:rsidR="00814074" w:rsidRDefault="1FD19687" w:rsidP="00814074">
      <w:pPr>
        <w:pStyle w:val="Dash"/>
        <w:tabs>
          <w:tab w:val="clear" w:pos="804"/>
        </w:tabs>
      </w:pPr>
      <w:r>
        <w:t>product ranging, shelf space allocation and range reviews,</w:t>
      </w:r>
    </w:p>
    <w:p w14:paraId="64BEC139" w14:textId="77777777" w:rsidR="00814074" w:rsidRDefault="1FD19687" w:rsidP="00814074">
      <w:pPr>
        <w:pStyle w:val="Dash"/>
        <w:tabs>
          <w:tab w:val="clear" w:pos="804"/>
        </w:tabs>
      </w:pPr>
      <w:r>
        <w:t>business disruption,</w:t>
      </w:r>
    </w:p>
    <w:p w14:paraId="050790C3" w14:textId="77777777" w:rsidR="00814074" w:rsidRDefault="1FD19687" w:rsidP="00814074">
      <w:pPr>
        <w:pStyle w:val="Dash"/>
        <w:tabs>
          <w:tab w:val="clear" w:pos="804"/>
        </w:tabs>
      </w:pPr>
      <w:r>
        <w:t>intellectual property rights and their transfer,</w:t>
      </w:r>
    </w:p>
    <w:p w14:paraId="0E492F48" w14:textId="77777777" w:rsidR="00814074" w:rsidRDefault="1FD19687" w:rsidP="00814074">
      <w:pPr>
        <w:pStyle w:val="Dash"/>
        <w:tabs>
          <w:tab w:val="clear" w:pos="804"/>
        </w:tabs>
      </w:pPr>
      <w:r>
        <w:t>confidential information, and</w:t>
      </w:r>
    </w:p>
    <w:p w14:paraId="28A7979A" w14:textId="644C49A6" w:rsidR="00814074" w:rsidRDefault="1FD19687" w:rsidP="00814074">
      <w:pPr>
        <w:pStyle w:val="Dash"/>
        <w:tabs>
          <w:tab w:val="clear" w:pos="804"/>
        </w:tabs>
      </w:pPr>
      <w:r>
        <w:t>price increases</w:t>
      </w:r>
      <w:r w:rsidR="32481445">
        <w:t>.</w:t>
      </w:r>
    </w:p>
    <w:p w14:paraId="406FBC7F" w14:textId="77777777" w:rsidR="00814074" w:rsidRDefault="00814074" w:rsidP="00814074">
      <w:r>
        <w:t>The Code also sets out requirements for signatories to ensure that they have appropriate mechanisms in place to achieve compliance with the Code. Specifically, the Code requires signatories to train staff with respect to the Code and ensure appropriate record keeping practices are in place.</w:t>
      </w:r>
      <w:r w:rsidRPr="00707D60">
        <w:rPr>
          <w:rStyle w:val="FootnoteReference"/>
          <w:sz w:val="22"/>
          <w:vertAlign w:val="superscript"/>
        </w:rPr>
        <w:footnoteReference w:id="14"/>
      </w:r>
    </w:p>
    <w:p w14:paraId="199F2DE7" w14:textId="332D41E7" w:rsidR="00814074" w:rsidRDefault="00814074" w:rsidP="00814074">
      <w:r>
        <w:t xml:space="preserve">The Code operates alongside several other Codes of Conduct, covering Horticulture, </w:t>
      </w:r>
      <w:proofErr w:type="gramStart"/>
      <w:r>
        <w:t>Sugar</w:t>
      </w:r>
      <w:proofErr w:type="gramEnd"/>
      <w:r w:rsidR="00AC06EB">
        <w:t xml:space="preserve"> and</w:t>
      </w:r>
      <w:r>
        <w:t xml:space="preserve"> Dairy, </w:t>
      </w:r>
      <w:r w:rsidR="00BA619B">
        <w:t>such</w:t>
      </w:r>
      <w:r>
        <w:t xml:space="preserve"> that producers and some suppliers could be covered by more than one Code of Conduct.</w:t>
      </w:r>
      <w:r w:rsidRPr="00707D60">
        <w:rPr>
          <w:rStyle w:val="FootnoteReference"/>
          <w:sz w:val="22"/>
          <w:vertAlign w:val="superscript"/>
        </w:rPr>
        <w:footnoteReference w:id="15"/>
      </w:r>
    </w:p>
    <w:tbl>
      <w:tblPr>
        <w:tblStyle w:val="TableGrid"/>
        <w:tblW w:w="0" w:type="auto"/>
        <w:tblLook w:val="04A0" w:firstRow="1" w:lastRow="0" w:firstColumn="1" w:lastColumn="0" w:noHBand="0" w:noVBand="1"/>
      </w:tblPr>
      <w:tblGrid>
        <w:gridCol w:w="8956"/>
      </w:tblGrid>
      <w:tr w:rsidR="00814074" w14:paraId="6D02DA8B" w14:textId="77777777" w:rsidTr="00556E36">
        <w:trPr>
          <w:cnfStyle w:val="100000000000" w:firstRow="1" w:lastRow="0" w:firstColumn="0" w:lastColumn="0" w:oddVBand="0" w:evenVBand="0" w:oddHBand="0" w:evenHBand="0" w:firstRowFirstColumn="0" w:firstRowLastColumn="0" w:lastRowFirstColumn="0" w:lastRowLastColumn="0"/>
          <w:trHeight w:val="2269"/>
        </w:trPr>
        <w:tc>
          <w:tcPr>
            <w:tcW w:w="8956" w:type="dxa"/>
          </w:tcPr>
          <w:p w14:paraId="0AB0C1A0" w14:textId="77777777" w:rsidR="00814074" w:rsidRPr="00613BC1" w:rsidRDefault="00814074" w:rsidP="00556E36">
            <w:pPr>
              <w:pStyle w:val="BoxHeading"/>
              <w:spacing w:before="96" w:after="96"/>
              <w:rPr>
                <w:b/>
                <w:bCs/>
              </w:rPr>
            </w:pPr>
            <w:r>
              <w:rPr>
                <w:b/>
                <w:bCs/>
              </w:rPr>
              <w:t>Consultation Q</w:t>
            </w:r>
            <w:r w:rsidRPr="00613BC1">
              <w:rPr>
                <w:b/>
                <w:bCs/>
              </w:rPr>
              <w:t>uestion</w:t>
            </w:r>
            <w:r>
              <w:rPr>
                <w:b/>
                <w:bCs/>
              </w:rPr>
              <w:t>s</w:t>
            </w:r>
          </w:p>
          <w:p w14:paraId="3A00CE46" w14:textId="77777777" w:rsidR="00814074" w:rsidRPr="00054E63" w:rsidRDefault="00814074" w:rsidP="00556E36">
            <w:pPr>
              <w:pStyle w:val="Bullet"/>
              <w:tabs>
                <w:tab w:val="left" w:pos="720"/>
              </w:tabs>
              <w:spacing w:beforeLines="40" w:before="96" w:afterLines="40" w:after="96"/>
              <w:ind w:left="520" w:hanging="520"/>
              <w:rPr>
                <w:b w:val="0"/>
                <w:bCs/>
                <w:sz w:val="22"/>
                <w:szCs w:val="22"/>
              </w:rPr>
            </w:pPr>
            <w:r w:rsidRPr="00054E63">
              <w:rPr>
                <w:b w:val="0"/>
                <w:bCs/>
                <w:sz w:val="22"/>
                <w:szCs w:val="22"/>
              </w:rPr>
              <w:t xml:space="preserve">Do the provisions set out under the Code ensure it is fit for purpose?  </w:t>
            </w:r>
          </w:p>
          <w:p w14:paraId="4BF62148" w14:textId="77777777" w:rsidR="00814074" w:rsidRPr="00054E63" w:rsidRDefault="00814074" w:rsidP="00556E36">
            <w:pPr>
              <w:pStyle w:val="Bullet"/>
              <w:tabs>
                <w:tab w:val="left" w:pos="720"/>
              </w:tabs>
              <w:spacing w:beforeLines="40" w:before="96" w:afterLines="40" w:after="96"/>
              <w:ind w:left="520" w:hanging="520"/>
              <w:rPr>
                <w:b w:val="0"/>
                <w:bCs/>
                <w:sz w:val="22"/>
                <w:szCs w:val="22"/>
              </w:rPr>
            </w:pPr>
            <w:r w:rsidRPr="00054E63">
              <w:rPr>
                <w:b w:val="0"/>
                <w:bCs/>
                <w:sz w:val="22"/>
                <w:szCs w:val="22"/>
              </w:rPr>
              <w:t>Which provisions under the Code help or hinder suppliers? How can the provisions be improved?</w:t>
            </w:r>
          </w:p>
          <w:p w14:paraId="3C67966E" w14:textId="77777777" w:rsidR="00814074" w:rsidRPr="00FC2E6E" w:rsidRDefault="00814074" w:rsidP="00556E36">
            <w:pPr>
              <w:pStyle w:val="Bullet"/>
              <w:tabs>
                <w:tab w:val="left" w:pos="720"/>
              </w:tabs>
              <w:spacing w:beforeLines="40" w:before="96" w:afterLines="40" w:after="96"/>
              <w:ind w:left="520" w:hanging="520"/>
              <w:rPr>
                <w:rFonts w:asciiTheme="minorHAnsi" w:hAnsiTheme="minorHAnsi" w:cstheme="minorHAnsi"/>
                <w:b w:val="0"/>
                <w:bCs/>
                <w:sz w:val="22"/>
                <w:szCs w:val="22"/>
              </w:rPr>
            </w:pPr>
            <w:r w:rsidRPr="00054E63">
              <w:rPr>
                <w:b w:val="0"/>
                <w:bCs/>
                <w:sz w:val="22"/>
                <w:szCs w:val="22"/>
              </w:rPr>
              <w:t>Does the interaction of the Code operate effectively with other sectoral codes of conduct, particularly in the agricultural sector, and how can this operation be improved?</w:t>
            </w:r>
          </w:p>
        </w:tc>
      </w:tr>
    </w:tbl>
    <w:p w14:paraId="2186E582" w14:textId="77777777" w:rsidR="00814074" w:rsidRDefault="00814074" w:rsidP="00814074">
      <w:pPr>
        <w:spacing w:before="0" w:after="160" w:line="259" w:lineRule="auto"/>
        <w:rPr>
          <w:rFonts w:asciiTheme="majorHAnsi" w:hAnsiTheme="majorHAnsi" w:cs="Arial"/>
          <w:iCs/>
          <w:color w:val="4D4D4D" w:themeColor="accent6"/>
          <w:kern w:val="32"/>
          <w:sz w:val="48"/>
          <w:szCs w:val="28"/>
        </w:rPr>
      </w:pPr>
      <w:r>
        <w:br w:type="page"/>
      </w:r>
    </w:p>
    <w:p w14:paraId="4F1F6BFD" w14:textId="77777777" w:rsidR="00814074" w:rsidRDefault="00814074" w:rsidP="00814074">
      <w:pPr>
        <w:pStyle w:val="Heading2"/>
      </w:pPr>
      <w:bookmarkStart w:id="13" w:name="_Toc157700845"/>
      <w:r>
        <w:lastRenderedPageBreak/>
        <w:t>International approaches</w:t>
      </w:r>
      <w:bookmarkEnd w:id="13"/>
      <w:r>
        <w:t xml:space="preserve"> </w:t>
      </w:r>
    </w:p>
    <w:p w14:paraId="037EB8DB" w14:textId="77777777" w:rsidR="00814074" w:rsidRPr="00814557" w:rsidRDefault="00814074" w:rsidP="00814074">
      <w:r>
        <w:t>Other</w:t>
      </w:r>
      <w:r w:rsidRPr="00814557">
        <w:t xml:space="preserve"> </w:t>
      </w:r>
      <w:r>
        <w:t>countries are</w:t>
      </w:r>
      <w:r w:rsidRPr="00814557">
        <w:t xml:space="preserve"> working to address </w:t>
      </w:r>
      <w:r>
        <w:t xml:space="preserve">the </w:t>
      </w:r>
      <w:r w:rsidRPr="00814557">
        <w:t xml:space="preserve">impacts </w:t>
      </w:r>
      <w:r>
        <w:t>of increased cost of living</w:t>
      </w:r>
      <w:r w:rsidRPr="00814557">
        <w:t xml:space="preserve"> on consumers, suppliers, </w:t>
      </w:r>
      <w:proofErr w:type="gramStart"/>
      <w:r w:rsidRPr="00814557">
        <w:t>wholesalers</w:t>
      </w:r>
      <w:proofErr w:type="gramEnd"/>
      <w:r w:rsidRPr="00814557">
        <w:t xml:space="preserve"> and retailers</w:t>
      </w:r>
      <w:r>
        <w:t xml:space="preserve"> and whether</w:t>
      </w:r>
      <w:r w:rsidRPr="00814557">
        <w:t xml:space="preserve"> </w:t>
      </w:r>
      <w:r>
        <w:t>their respective grocery codes are fit for purpose</w:t>
      </w:r>
      <w:r w:rsidRPr="00814557">
        <w:t>.  </w:t>
      </w:r>
    </w:p>
    <w:p w14:paraId="2F866B46" w14:textId="25A7576C" w:rsidR="00814074" w:rsidRPr="00814557" w:rsidRDefault="00814074" w:rsidP="00814074">
      <w:r>
        <w:t>The United Kingdom’s (UK’s) model for addressing grocery disputes includes a Groceries Code Adjudicator, who acts as a sole regulator for the UK’s equivalent grocery code of conduct. A 2018 independent review found that although the Adjudicator has the power to arbitrate disputes between large retailers and suppliers, this function was rarely employed, and was instead directed to the UK’s equivalent of a Code Arbiter.</w:t>
      </w:r>
      <w:r w:rsidRPr="00EF2F6F">
        <w:rPr>
          <w:rStyle w:val="FootnoteReference"/>
          <w:sz w:val="22"/>
          <w:vertAlign w:val="superscript"/>
        </w:rPr>
        <w:footnoteReference w:id="16"/>
      </w:r>
    </w:p>
    <w:p w14:paraId="52CE1B5E" w14:textId="7934FB21" w:rsidR="00814074" w:rsidRDefault="00814074" w:rsidP="00814074">
      <w:r>
        <w:t>Other jurisdictions have established or are in the process of implementing similar grocery codes, including Canada, the European Union and its Member States, and New Zealand. New Zealand’s Grocery Supply Code of Conduct came into effect in September 2023 as part of wider reforms to improve competition in the grocery sector.</w:t>
      </w:r>
      <w:r w:rsidRPr="00EF2F6F">
        <w:rPr>
          <w:rStyle w:val="FootnoteReference"/>
          <w:sz w:val="22"/>
          <w:vertAlign w:val="superscript"/>
        </w:rPr>
        <w:footnoteReference w:id="17"/>
      </w:r>
      <w:r w:rsidRPr="00EF2F6F">
        <w:rPr>
          <w:rStyle w:val="FootnoteReference"/>
          <w:sz w:val="22"/>
          <w:vertAlign w:val="superscript"/>
        </w:rPr>
        <w:t xml:space="preserve"> </w:t>
      </w:r>
      <w:r>
        <w:t>Canada’s industry-led model is planned for phased implementation from early this year.</w:t>
      </w:r>
      <w:r w:rsidRPr="00EF2F6F">
        <w:rPr>
          <w:rStyle w:val="FootnoteReference"/>
          <w:sz w:val="22"/>
          <w:vertAlign w:val="superscript"/>
        </w:rPr>
        <w:footnoteReference w:id="18"/>
      </w:r>
      <w:r>
        <w:t xml:space="preserve"> </w:t>
      </w:r>
    </w:p>
    <w:p w14:paraId="47FCD52B" w14:textId="77777777" w:rsidR="00814074" w:rsidRDefault="00814074" w:rsidP="00814074">
      <w:r>
        <w:t>The Review will consider relevant international approaches and how they might be considered in the Australian context.</w:t>
      </w:r>
    </w:p>
    <w:tbl>
      <w:tblPr>
        <w:tblStyle w:val="TableGrid"/>
        <w:tblW w:w="0" w:type="auto"/>
        <w:tblLook w:val="04A0" w:firstRow="1" w:lastRow="0" w:firstColumn="1" w:lastColumn="0" w:noHBand="0" w:noVBand="1"/>
      </w:tblPr>
      <w:tblGrid>
        <w:gridCol w:w="8956"/>
      </w:tblGrid>
      <w:tr w:rsidR="00814074" w14:paraId="4A165A8F" w14:textId="77777777" w:rsidTr="00556E36">
        <w:trPr>
          <w:cnfStyle w:val="100000000000" w:firstRow="1" w:lastRow="0" w:firstColumn="0" w:lastColumn="0" w:oddVBand="0" w:evenVBand="0" w:oddHBand="0" w:evenHBand="0" w:firstRowFirstColumn="0" w:firstRowLastColumn="0" w:lastRowFirstColumn="0" w:lastRowLastColumn="0"/>
          <w:trHeight w:val="1276"/>
        </w:trPr>
        <w:tc>
          <w:tcPr>
            <w:tcW w:w="8956" w:type="dxa"/>
          </w:tcPr>
          <w:p w14:paraId="498A9B4D" w14:textId="77777777" w:rsidR="00814074" w:rsidRPr="00613BC1" w:rsidRDefault="00814074" w:rsidP="00556E36">
            <w:pPr>
              <w:pStyle w:val="BoxHeading"/>
              <w:spacing w:before="96" w:after="96"/>
              <w:rPr>
                <w:b/>
                <w:bCs/>
              </w:rPr>
            </w:pPr>
            <w:r>
              <w:rPr>
                <w:b/>
                <w:bCs/>
              </w:rPr>
              <w:t xml:space="preserve">Consultation </w:t>
            </w:r>
            <w:r w:rsidRPr="00613BC1">
              <w:rPr>
                <w:b/>
                <w:bCs/>
              </w:rPr>
              <w:t>Question</w:t>
            </w:r>
          </w:p>
          <w:p w14:paraId="6574BA27" w14:textId="77777777" w:rsidR="00814074" w:rsidRPr="00613BC1" w:rsidRDefault="00814074" w:rsidP="00556E36">
            <w:pPr>
              <w:pStyle w:val="Bullet"/>
              <w:tabs>
                <w:tab w:val="left" w:pos="720"/>
              </w:tabs>
              <w:spacing w:beforeLines="40" w:before="96" w:afterLines="40" w:after="96"/>
              <w:ind w:left="520" w:hanging="520"/>
              <w:rPr>
                <w:bCs/>
                <w:sz w:val="22"/>
              </w:rPr>
            </w:pPr>
            <w:r w:rsidRPr="007E69E7">
              <w:rPr>
                <w:b w:val="0"/>
                <w:bCs/>
                <w:sz w:val="22"/>
                <w:szCs w:val="22"/>
              </w:rPr>
              <w:t>What international approaches to regulating the conduct of supermarkets in relation to their suppliers should be considered in the Australian context, including lessons learned?</w:t>
            </w:r>
          </w:p>
        </w:tc>
      </w:tr>
    </w:tbl>
    <w:p w14:paraId="569D0B78" w14:textId="77777777" w:rsidR="00814074" w:rsidRPr="00553DE6" w:rsidRDefault="00814074" w:rsidP="00814074">
      <w:pPr>
        <w:pStyle w:val="Bullet"/>
        <w:numPr>
          <w:ilvl w:val="0"/>
          <w:numId w:val="0"/>
        </w:numPr>
        <w:tabs>
          <w:tab w:val="left" w:pos="720"/>
        </w:tabs>
        <w:spacing w:beforeLines="40" w:before="96" w:afterLines="40" w:after="96"/>
        <w:ind w:left="284" w:hanging="284"/>
        <w:rPr>
          <w:bCs/>
          <w:szCs w:val="22"/>
        </w:rPr>
      </w:pPr>
    </w:p>
    <w:p w14:paraId="61CDED88" w14:textId="77777777" w:rsidR="00814074" w:rsidRDefault="00814074" w:rsidP="00814074">
      <w:pPr>
        <w:spacing w:before="0" w:after="160" w:line="259" w:lineRule="auto"/>
        <w:rPr>
          <w:rFonts w:asciiTheme="majorHAnsi" w:hAnsiTheme="majorHAnsi" w:cs="Arial"/>
          <w:b/>
          <w:kern w:val="32"/>
          <w:sz w:val="56"/>
          <w:szCs w:val="36"/>
        </w:rPr>
      </w:pPr>
      <w:r>
        <w:br w:type="page"/>
      </w:r>
    </w:p>
    <w:p w14:paraId="341E6CAC" w14:textId="77777777" w:rsidR="00814074" w:rsidRDefault="00814074" w:rsidP="00814074">
      <w:pPr>
        <w:pStyle w:val="Heading1"/>
      </w:pPr>
      <w:bookmarkStart w:id="14" w:name="_Toc157700846"/>
      <w:r>
        <w:lastRenderedPageBreak/>
        <w:t>Food and Grocery Code: voluntary or mandatory?</w:t>
      </w:r>
      <w:bookmarkEnd w:id="14"/>
    </w:p>
    <w:p w14:paraId="0E3BDC67" w14:textId="77777777" w:rsidR="00814074" w:rsidRDefault="00814074" w:rsidP="00814074">
      <w:pPr>
        <w:pStyle w:val="Heading2"/>
      </w:pPr>
      <w:bookmarkStart w:id="15" w:name="_Toc157700847"/>
      <w:r>
        <w:t>Key issues</w:t>
      </w:r>
      <w:bookmarkEnd w:id="15"/>
      <w:r>
        <w:t xml:space="preserve"> </w:t>
      </w:r>
    </w:p>
    <w:p w14:paraId="29830DB2" w14:textId="77777777" w:rsidR="00814074" w:rsidRDefault="00814074" w:rsidP="00814074">
      <w:pPr>
        <w:rPr>
          <w:rStyle w:val="normaltextrun"/>
          <w:rFonts w:cs="Calibri"/>
          <w:color w:val="000000"/>
          <w:shd w:val="clear" w:color="auto" w:fill="FFFFFF"/>
        </w:rPr>
      </w:pPr>
      <w:r>
        <w:rPr>
          <w:rStyle w:val="normaltextrun"/>
          <w:rFonts w:cs="Calibri"/>
          <w:color w:val="000000"/>
          <w:shd w:val="clear" w:color="auto" w:fill="FFFFFF"/>
        </w:rPr>
        <w:t xml:space="preserve">The purpose of this Review is to assess whether the Code is effective </w:t>
      </w:r>
      <w:r w:rsidRPr="00812FBF">
        <w:rPr>
          <w:rStyle w:val="normaltextrun"/>
          <w:rFonts w:cs="Calibri"/>
          <w:color w:val="000000"/>
          <w:shd w:val="clear" w:color="auto" w:fill="FFFFFF"/>
        </w:rPr>
        <w:t xml:space="preserve">in achieving its purpose to improve the commercial relationship between retailers, </w:t>
      </w:r>
      <w:proofErr w:type="gramStart"/>
      <w:r w:rsidRPr="00812FBF">
        <w:rPr>
          <w:rStyle w:val="normaltextrun"/>
          <w:rFonts w:cs="Calibri"/>
          <w:color w:val="000000"/>
          <w:shd w:val="clear" w:color="auto" w:fill="FFFFFF"/>
        </w:rPr>
        <w:t>wholesalers</w:t>
      </w:r>
      <w:proofErr w:type="gramEnd"/>
      <w:r w:rsidRPr="00812FBF">
        <w:rPr>
          <w:rStyle w:val="normaltextrun"/>
          <w:rFonts w:cs="Calibri"/>
          <w:color w:val="000000"/>
          <w:shd w:val="clear" w:color="auto" w:fill="FFFFFF"/>
        </w:rPr>
        <w:t xml:space="preserve"> and suppliers in the grocery sector. </w:t>
      </w:r>
    </w:p>
    <w:p w14:paraId="23B13AEF" w14:textId="7DA51930" w:rsidR="00814074" w:rsidRDefault="00814074" w:rsidP="00814074">
      <w:pPr>
        <w:rPr>
          <w:rStyle w:val="normaltextrun"/>
          <w:color w:val="000000"/>
          <w:shd w:val="clear" w:color="auto" w:fill="FFFFFF"/>
        </w:rPr>
      </w:pPr>
      <w:r>
        <w:rPr>
          <w:rStyle w:val="normaltextrun"/>
          <w:color w:val="000000"/>
          <w:shd w:val="clear" w:color="auto" w:fill="FFFFFF"/>
        </w:rPr>
        <w:t>Feedback from stakeholders, including previous ACCC chairs and supplier group representatives, has identified several key issues on which this review is seeking feedback. In assessing the Code’s effectiveness, particular consideration will be given to three issues:</w:t>
      </w:r>
    </w:p>
    <w:p w14:paraId="612EB16C" w14:textId="77777777" w:rsidR="00814074" w:rsidRPr="00CB7C2E" w:rsidRDefault="00814074" w:rsidP="00814074">
      <w:pPr>
        <w:pStyle w:val="OutlineNumbered3"/>
        <w:numPr>
          <w:ilvl w:val="0"/>
          <w:numId w:val="17"/>
        </w:numPr>
        <w:spacing w:after="120"/>
      </w:pPr>
      <w:r w:rsidRPr="00CB7C2E">
        <w:rPr>
          <w:b/>
          <w:bCs/>
        </w:rPr>
        <w:t>Voluntary code</w:t>
      </w:r>
      <w:r w:rsidRPr="00CB7C2E">
        <w:t xml:space="preserve"> – should the Code be prescribed as mandatory or voluntary?</w:t>
      </w:r>
    </w:p>
    <w:p w14:paraId="57596AD4" w14:textId="77777777" w:rsidR="00814074" w:rsidRPr="00CB7C2E" w:rsidRDefault="00814074" w:rsidP="00814074">
      <w:pPr>
        <w:pStyle w:val="OutlineNumbered3"/>
        <w:numPr>
          <w:ilvl w:val="0"/>
          <w:numId w:val="17"/>
        </w:numPr>
        <w:spacing w:after="120"/>
      </w:pPr>
      <w:r w:rsidRPr="00CB7C2E">
        <w:rPr>
          <w:b/>
          <w:bCs/>
        </w:rPr>
        <w:t>Fear of retribution</w:t>
      </w:r>
      <w:r w:rsidRPr="00CB7C2E">
        <w:t xml:space="preserve"> – has the </w:t>
      </w:r>
      <w:r>
        <w:t>C</w:t>
      </w:r>
      <w:r w:rsidRPr="00CB7C2E">
        <w:t>ode effectively reduced suppliers</w:t>
      </w:r>
      <w:r>
        <w:t>’</w:t>
      </w:r>
      <w:r w:rsidRPr="00CB7C2E">
        <w:t xml:space="preserve"> fear</w:t>
      </w:r>
      <w:r>
        <w:t>s</w:t>
      </w:r>
      <w:r w:rsidRPr="00CB7C2E">
        <w:t xml:space="preserve"> of retribution from raising issues with the </w:t>
      </w:r>
      <w:r>
        <w:t>s</w:t>
      </w:r>
      <w:r w:rsidRPr="00CB7C2E">
        <w:t>ignatories?</w:t>
      </w:r>
    </w:p>
    <w:p w14:paraId="1C6424C1" w14:textId="067E6DA3" w:rsidR="00814074" w:rsidRPr="00CB7C2E" w:rsidRDefault="00814074" w:rsidP="00814074">
      <w:pPr>
        <w:pStyle w:val="OutlineNumbered3"/>
        <w:numPr>
          <w:ilvl w:val="0"/>
          <w:numId w:val="17"/>
        </w:numPr>
        <w:spacing w:after="120"/>
      </w:pPr>
      <w:r w:rsidRPr="00CB7C2E">
        <w:rPr>
          <w:b/>
          <w:bCs/>
        </w:rPr>
        <w:t>Penalties</w:t>
      </w:r>
      <w:r w:rsidRPr="00CB7C2E">
        <w:t xml:space="preserve"> </w:t>
      </w:r>
      <w:r w:rsidR="00FA6B91" w:rsidRPr="00CB7C2E">
        <w:t>–</w:t>
      </w:r>
      <w:r w:rsidRPr="00CB7C2E">
        <w:t xml:space="preserve"> should the current enforcement powers </w:t>
      </w:r>
      <w:r>
        <w:t xml:space="preserve">of </w:t>
      </w:r>
      <w:r w:rsidRPr="00CB7C2E">
        <w:t xml:space="preserve">the ACCC be extended to include </w:t>
      </w:r>
      <w:r>
        <w:t>significant financial</w:t>
      </w:r>
      <w:r w:rsidRPr="00CB7C2E">
        <w:t xml:space="preserve"> penalties? </w:t>
      </w:r>
    </w:p>
    <w:p w14:paraId="48E2BC81" w14:textId="77777777" w:rsidR="00814074" w:rsidRPr="00992A1C" w:rsidRDefault="00814074" w:rsidP="00814074">
      <w:pPr>
        <w:pStyle w:val="Heading3"/>
      </w:pPr>
      <w:bookmarkStart w:id="16" w:name="_Toc157700848"/>
      <w:r>
        <w:t>Would a mandatory code create a fairer environment for suppliers?</w:t>
      </w:r>
      <w:bookmarkEnd w:id="16"/>
      <w:r>
        <w:t xml:space="preserve"> </w:t>
      </w:r>
    </w:p>
    <w:p w14:paraId="3D668A23" w14:textId="77777777" w:rsidR="00814074" w:rsidRDefault="00814074" w:rsidP="00814074">
      <w:r w:rsidRPr="00AB370B">
        <w:t>The Code</w:t>
      </w:r>
      <w:r>
        <w:t xml:space="preserve"> is</w:t>
      </w:r>
      <w:r w:rsidRPr="00AB370B">
        <w:t xml:space="preserve"> a voluntary code prescribed </w:t>
      </w:r>
      <w:r>
        <w:t xml:space="preserve">in 2015 </w:t>
      </w:r>
      <w:r w:rsidRPr="00AB370B">
        <w:t xml:space="preserve">under Part IVB of the </w:t>
      </w:r>
      <w:r w:rsidRPr="004F4248">
        <w:rPr>
          <w:i/>
          <w:iCs/>
        </w:rPr>
        <w:t>Competition and Consumer Act 2010</w:t>
      </w:r>
      <w:r>
        <w:t xml:space="preserve"> (CCA). This means that while being a signatory to the Code is voluntary for supermarkets, </w:t>
      </w:r>
      <w:r w:rsidRPr="13DF69F0">
        <w:rPr>
          <w:rStyle w:val="normaltextrun"/>
          <w:rFonts w:cs="Calibri Light"/>
        </w:rPr>
        <w:t xml:space="preserve">once a </w:t>
      </w:r>
      <w:r>
        <w:rPr>
          <w:rStyle w:val="normaltextrun"/>
          <w:rFonts w:cs="Calibri Light"/>
        </w:rPr>
        <w:t>supermarket</w:t>
      </w:r>
      <w:r w:rsidRPr="13DF69F0">
        <w:rPr>
          <w:rStyle w:val="normaltextrun"/>
          <w:rFonts w:cs="Calibri Light"/>
        </w:rPr>
        <w:t xml:space="preserve"> opts</w:t>
      </w:r>
      <w:r>
        <w:rPr>
          <w:rStyle w:val="normaltextrun"/>
          <w:rFonts w:cs="Calibri Light"/>
        </w:rPr>
        <w:t xml:space="preserve"> </w:t>
      </w:r>
      <w:r w:rsidRPr="13DF69F0">
        <w:rPr>
          <w:rStyle w:val="normaltextrun"/>
          <w:rFonts w:cs="Calibri Light"/>
        </w:rPr>
        <w:t xml:space="preserve">in it is legally bound by the requirements </w:t>
      </w:r>
      <w:r>
        <w:rPr>
          <w:rStyle w:val="normaltextrun"/>
          <w:rFonts w:cs="Calibri Light"/>
        </w:rPr>
        <w:t>of</w:t>
      </w:r>
      <w:r w:rsidRPr="13DF69F0">
        <w:rPr>
          <w:rStyle w:val="normaltextrun"/>
          <w:rFonts w:cs="Calibri Light"/>
        </w:rPr>
        <w:t xml:space="preserve"> the Code. </w:t>
      </w:r>
      <w:r>
        <w:rPr>
          <w:rStyle w:val="normaltextrun"/>
          <w:rFonts w:cs="Calibri Light"/>
        </w:rPr>
        <w:t>On the other hand, b</w:t>
      </w:r>
      <w:r w:rsidRPr="13DF69F0">
        <w:rPr>
          <w:rStyle w:val="normaltextrun"/>
          <w:rFonts w:cs="Calibri Light"/>
        </w:rPr>
        <w:t xml:space="preserve">eing a voluntary code, a signatory can withdraw </w:t>
      </w:r>
      <w:r>
        <w:rPr>
          <w:rStyle w:val="normaltextrun"/>
          <w:rFonts w:cs="Calibri Light"/>
        </w:rPr>
        <w:t xml:space="preserve">at any time </w:t>
      </w:r>
      <w:r w:rsidRPr="13DF69F0">
        <w:rPr>
          <w:rStyle w:val="normaltextrun"/>
          <w:rFonts w:cs="Calibri Light"/>
        </w:rPr>
        <w:t>from being bound by the requirements in the Code.</w:t>
      </w:r>
      <w:r w:rsidRPr="00EF2F6F">
        <w:rPr>
          <w:rStyle w:val="FootnoteReference"/>
          <w:sz w:val="22"/>
          <w:vertAlign w:val="superscript"/>
        </w:rPr>
        <w:footnoteReference w:id="19"/>
      </w:r>
      <w:r>
        <w:rPr>
          <w:rStyle w:val="normaltextrun"/>
          <w:rFonts w:cs="Calibri Light"/>
        </w:rPr>
        <w:t xml:space="preserve"> While the Code is prescribed under the CCA and the ACCC can take enforcement action for breaches of the Code, </w:t>
      </w:r>
      <w:r>
        <w:t>no enforcement action has been taken by the ACCC against a signatory for a breach of the Code.</w:t>
      </w:r>
    </w:p>
    <w:p w14:paraId="21CE426C" w14:textId="77777777" w:rsidR="00814074" w:rsidRPr="00087D02" w:rsidRDefault="00814074" w:rsidP="00814074">
      <w:pPr>
        <w:pStyle w:val="Heading4"/>
      </w:pPr>
      <w:r>
        <w:t>Arguments for a voluntary code</w:t>
      </w:r>
    </w:p>
    <w:p w14:paraId="00D6FDAF" w14:textId="77777777" w:rsidR="00814074" w:rsidRDefault="00814074" w:rsidP="00814074">
      <w:r w:rsidRPr="00DD6492">
        <w:t>The Code was reviewed in 2018 by Professor Graeme Samuel AO, Chairman of the ACCC from 2013 to 2014. Professor Samuel recommended that the Code remain voluntary but that the Government should consider introducing a targeted mandatory code for industry participants with significant market power that refuse to become signatories.</w:t>
      </w:r>
      <w:r w:rsidRPr="00EF2F6F">
        <w:rPr>
          <w:rStyle w:val="FootnoteReference"/>
          <w:sz w:val="22"/>
          <w:vertAlign w:val="superscript"/>
        </w:rPr>
        <w:footnoteReference w:id="20"/>
      </w:r>
      <w:r w:rsidRPr="00EF2F6F">
        <w:rPr>
          <w:rStyle w:val="FootnoteReference"/>
          <w:sz w:val="22"/>
          <w:vertAlign w:val="superscript"/>
        </w:rPr>
        <w:t xml:space="preserve"> </w:t>
      </w:r>
      <w:r w:rsidRPr="00DD6492">
        <w:t xml:space="preserve"> </w:t>
      </w:r>
    </w:p>
    <w:p w14:paraId="68BE77A4" w14:textId="77777777" w:rsidR="0013712D" w:rsidRDefault="00814074" w:rsidP="00814074">
      <w:r>
        <w:lastRenderedPageBreak/>
        <w:t>Supporters of a voluntary code suggest it has the benefit of allowing for a requirement of binding arbitrated outcomes during dispute resolution, saving signatories and suppliers the time and cost of litigating matters through courts to reach an enforceable outcome. Generally, they argue, it is not possible to have a requirement for binding arbitration under a mandatory code, owing to constitutional limitations that apply in a mandatory setting, creating a more adversarial system.</w:t>
      </w:r>
    </w:p>
    <w:p w14:paraId="52CECAE3" w14:textId="7B46DDF8" w:rsidR="00814074" w:rsidRDefault="00814074" w:rsidP="00814074">
      <w:r>
        <w:t>The 2018 Review of the Code by Professor Samuel noted that:</w:t>
      </w:r>
    </w:p>
    <w:p w14:paraId="624A35AA" w14:textId="6E25BB42" w:rsidR="00814074" w:rsidRPr="0009078D" w:rsidRDefault="00814074" w:rsidP="00814074">
      <w:pPr>
        <w:ind w:left="720"/>
        <w:rPr>
          <w:i/>
          <w:iCs/>
        </w:rPr>
      </w:pPr>
      <w:r>
        <w:t>“</w:t>
      </w:r>
      <w:r>
        <w:rPr>
          <w:i/>
          <w:iCs/>
        </w:rPr>
        <w:t>Forcing retailers and wholesalers to be subject to determinations about the existing legal rights and obligations, such as whether an entity has failed to conduct negotiations in good faith, is generally regarded as an exercise in judicial power. The compulsion of an entity to be bound by conclusive determinations on the law is a function exclusively reserved to the courts. If a mandatory Grocery Code were to give this function to an arbiter, it may be invalid as it risks infringing the separation of powers doctrine under the Constitution.”</w:t>
      </w:r>
      <w:r w:rsidR="00EF2F6F">
        <w:rPr>
          <w:i/>
          <w:iCs/>
        </w:rPr>
        <w:t xml:space="preserve"> </w:t>
      </w:r>
      <w:r w:rsidRPr="00EF2F6F">
        <w:rPr>
          <w:rStyle w:val="FootnoteReference"/>
          <w:sz w:val="22"/>
          <w:vertAlign w:val="superscript"/>
        </w:rPr>
        <w:footnoteReference w:id="21"/>
      </w:r>
    </w:p>
    <w:p w14:paraId="53F99FD6" w14:textId="3E458ADC" w:rsidR="00814074" w:rsidRDefault="00814074" w:rsidP="00814074">
      <w:r>
        <w:t xml:space="preserve">Supporters of a voluntary Code also suggest that </w:t>
      </w:r>
      <w:r w:rsidR="0013712D">
        <w:t>it</w:t>
      </w:r>
      <w:r>
        <w:t xml:space="preserve"> allows the signatories and market participants to have greater input into the development and implementation of the Code’s provisions. Professor Samuel's review concluded that the voluntary nature of the Code generated a higher level of buy-in and that collaboration improved compliance and adherence to the Code.</w:t>
      </w:r>
      <w:r w:rsidRPr="00EF2F6F">
        <w:rPr>
          <w:rStyle w:val="FootnoteReference"/>
          <w:sz w:val="22"/>
          <w:vertAlign w:val="superscript"/>
        </w:rPr>
        <w:footnoteReference w:id="22"/>
      </w:r>
      <w:r>
        <w:t xml:space="preserve">  Supporters suggest that while signatories could withdraw from the Code at any time, the reputational cost of doing so would be great.</w:t>
      </w:r>
    </w:p>
    <w:p w14:paraId="2A75AFDB" w14:textId="77777777" w:rsidR="00814074" w:rsidRPr="00087D02" w:rsidRDefault="00814074" w:rsidP="00814074">
      <w:pPr>
        <w:pStyle w:val="Heading4"/>
      </w:pPr>
      <w:r>
        <w:t>Arguments for</w:t>
      </w:r>
      <w:r w:rsidRPr="00087D02">
        <w:t xml:space="preserve"> a mandatory code</w:t>
      </w:r>
    </w:p>
    <w:p w14:paraId="7FE83999" w14:textId="77777777" w:rsidR="00814074" w:rsidRDefault="00814074" w:rsidP="00814074">
      <w:r>
        <w:t>Professor Rod Sims AO, Chair of the ACCC from 2011 to 2022, has described the Code as deeply deficient and since it is voluntary:</w:t>
      </w:r>
    </w:p>
    <w:p w14:paraId="0AF6A902" w14:textId="58B9F30F" w:rsidR="00814074" w:rsidRPr="00C66BA8" w:rsidRDefault="00814074" w:rsidP="00814074">
      <w:pPr>
        <w:ind w:left="720"/>
        <w:rPr>
          <w:i/>
        </w:rPr>
      </w:pPr>
      <w:r w:rsidRPr="002777CB">
        <w:rPr>
          <w:i/>
        </w:rPr>
        <w:t>“… the supermarkets can walk away when they wish. It is unfathomable that such poor policy exists. It favours large businesses over small businesses and farmers</w:t>
      </w:r>
      <w:r w:rsidRPr="002777CB">
        <w:rPr>
          <w:i/>
          <w:iCs/>
        </w:rPr>
        <w:t>.</w:t>
      </w:r>
      <w:r>
        <w:rPr>
          <w:i/>
          <w:iCs/>
        </w:rPr>
        <w:t>”</w:t>
      </w:r>
      <w:r w:rsidR="00EF2F6F">
        <w:rPr>
          <w:i/>
          <w:iCs/>
        </w:rPr>
        <w:t xml:space="preserve"> </w:t>
      </w:r>
      <w:r w:rsidRPr="00EF2F6F">
        <w:rPr>
          <w:rStyle w:val="FootnoteReference"/>
          <w:sz w:val="22"/>
          <w:vertAlign w:val="superscript"/>
        </w:rPr>
        <w:footnoteReference w:id="23"/>
      </w:r>
    </w:p>
    <w:p w14:paraId="33BE601C" w14:textId="5CC6773D" w:rsidR="00814074" w:rsidRDefault="00814074" w:rsidP="00814074">
      <w:r w:rsidRPr="00812FBF">
        <w:t xml:space="preserve">Professor Allan Fels AO, Chair of the ACCC from 1995 to 2003, described the Code as </w:t>
      </w:r>
      <w:r>
        <w:t>“</w:t>
      </w:r>
      <w:r w:rsidRPr="00812FBF">
        <w:t>just tokenistic</w:t>
      </w:r>
      <w:r>
        <w:t>”</w:t>
      </w:r>
      <w:r w:rsidRPr="00812FBF">
        <w:t xml:space="preserve">, adding that </w:t>
      </w:r>
      <w:r>
        <w:t>“i</w:t>
      </w:r>
      <w:r w:rsidRPr="00812FBF">
        <w:t>t’s good that the Government and Craig Emerson doing the review are seriously considering making it compulsory</w:t>
      </w:r>
      <w:r w:rsidR="00253DA3">
        <w:t>.</w:t>
      </w:r>
      <w:r w:rsidRPr="00812FBF">
        <w:t>”</w:t>
      </w:r>
      <w:r w:rsidR="00EF2F6F">
        <w:t xml:space="preserve"> </w:t>
      </w:r>
      <w:r w:rsidRPr="00EF2F6F">
        <w:rPr>
          <w:rStyle w:val="FootnoteReference"/>
          <w:sz w:val="22"/>
          <w:vertAlign w:val="superscript"/>
        </w:rPr>
        <w:footnoteReference w:id="24"/>
      </w:r>
    </w:p>
    <w:p w14:paraId="2979D65C" w14:textId="7CCD04BC" w:rsidR="00814074" w:rsidRDefault="00814074" w:rsidP="00814074">
      <w:r>
        <w:t xml:space="preserve">Supporters of a mandatory code suggest that the binding dispute resolution outcomes available through the Code Arbiter process </w:t>
      </w:r>
      <w:r w:rsidR="00F95C0B">
        <w:t xml:space="preserve">of the voluntary Code </w:t>
      </w:r>
      <w:r>
        <w:t xml:space="preserve">are not, in practice, providing a benefit to suppliers. This is evidenced, they say, by the fact that so few complaints have been made to </w:t>
      </w:r>
      <w:r w:rsidRPr="00301CF8">
        <w:t xml:space="preserve">Code Arbiters </w:t>
      </w:r>
      <w:r>
        <w:t>out of fear of retribution, and that no compensation has been ordered for a supplier since the role was included in the Code in 2020.</w:t>
      </w:r>
      <w:r w:rsidRPr="00EF2F6F">
        <w:rPr>
          <w:rStyle w:val="FootnoteReference"/>
          <w:sz w:val="22"/>
          <w:vertAlign w:val="superscript"/>
        </w:rPr>
        <w:footnoteReference w:id="25"/>
      </w:r>
    </w:p>
    <w:p w14:paraId="42214623" w14:textId="460CBE96" w:rsidR="00814074" w:rsidRDefault="00814074" w:rsidP="00814074">
      <w:r>
        <w:lastRenderedPageBreak/>
        <w:t xml:space="preserve">Moreover, </w:t>
      </w:r>
      <w:r w:rsidR="002E3CC3">
        <w:t>they argue</w:t>
      </w:r>
      <w:r w:rsidR="008A2BBA">
        <w:t xml:space="preserve">, </w:t>
      </w:r>
      <w:r>
        <w:t>it is common for mandatory codes to require internal dispute resolution mechanisms to be put in place, such as complaint-handling and mediation arrangements.  Mandatory codes can also provide for arbitration on a voluntary basis (where parties consent to be bound by the decision).</w:t>
      </w:r>
      <w:r w:rsidRPr="00EF2F6F">
        <w:rPr>
          <w:rStyle w:val="FootnoteReference"/>
          <w:sz w:val="22"/>
          <w:vertAlign w:val="superscript"/>
        </w:rPr>
        <w:footnoteReference w:id="26"/>
      </w:r>
    </w:p>
    <w:p w14:paraId="118C87D5" w14:textId="0DAA1971" w:rsidR="00814074" w:rsidRDefault="00814074" w:rsidP="00814074">
      <w:r>
        <w:t>The ACCC has previously recommended repealing the</w:t>
      </w:r>
      <w:r w:rsidR="008A2BBA">
        <w:t xml:space="preserve"> voluntary</w:t>
      </w:r>
      <w:r>
        <w:t xml:space="preserve"> Code and replacing it with a mandatory Code: </w:t>
      </w:r>
    </w:p>
    <w:p w14:paraId="5743A50F" w14:textId="0839D208" w:rsidR="00814074" w:rsidRDefault="00814074" w:rsidP="00814074">
      <w:pPr>
        <w:ind w:left="720"/>
        <w:rPr>
          <w:i/>
          <w:iCs/>
        </w:rPr>
      </w:pPr>
      <w:r w:rsidRPr="002777CB">
        <w:rPr>
          <w:i/>
          <w:iCs/>
        </w:rPr>
        <w:t xml:space="preserve"> “… we are of the view that the benefits of a mandatory code have been underestimated. We consider that a mandatory code, with the potential for the regulator to seek meaningful and proportionate penalties for alleged non-compliance, would more powerfully drive the kinds of behaviour the code seeks to achieve across the sector and incentivise retailers and wholesalers to comply</w:t>
      </w:r>
      <w:r>
        <w:rPr>
          <w:i/>
          <w:iCs/>
        </w:rPr>
        <w:t>.”</w:t>
      </w:r>
      <w:r w:rsidR="00EF2F6F">
        <w:rPr>
          <w:i/>
          <w:iCs/>
        </w:rPr>
        <w:t xml:space="preserve"> </w:t>
      </w:r>
      <w:r w:rsidRPr="00EF2F6F">
        <w:rPr>
          <w:rStyle w:val="FootnoteReference"/>
          <w:sz w:val="22"/>
          <w:vertAlign w:val="superscript"/>
        </w:rPr>
        <w:footnoteReference w:id="27"/>
      </w:r>
    </w:p>
    <w:p w14:paraId="3E261FD2" w14:textId="2908A842" w:rsidR="00814074" w:rsidRDefault="00814074" w:rsidP="00814074">
      <w:r>
        <w:t xml:space="preserve">The ACCC has indicated it will not commit extensive resources to regulate compliance with the Code as </w:t>
      </w:r>
      <w:r w:rsidR="00A80846">
        <w:t>it</w:t>
      </w:r>
      <w:r>
        <w:t xml:space="preserve"> “...</w:t>
      </w:r>
      <w:r w:rsidR="00E2537F">
        <w:t xml:space="preserve"> </w:t>
      </w:r>
      <w:r>
        <w:t>does not provide the ACCC with meaningful compliance and enforcement tools”.</w:t>
      </w:r>
      <w:r w:rsidRPr="00EF2F6F">
        <w:rPr>
          <w:rStyle w:val="FootnoteReference"/>
          <w:sz w:val="22"/>
          <w:vertAlign w:val="superscript"/>
        </w:rPr>
        <w:footnoteReference w:id="28"/>
      </w:r>
      <w:r>
        <w:t xml:space="preserve"> The ACCC’s reluctance to initiate enforcement proceedings </w:t>
      </w:r>
      <w:r w:rsidR="00B25584">
        <w:t>under the Code</w:t>
      </w:r>
      <w:r>
        <w:t xml:space="preserve"> might be, in part, because its ability to “achieve and leverage outcomes can be more difficult with a voluntary code.”</w:t>
      </w:r>
      <w:r w:rsidRPr="00EF2F6F">
        <w:rPr>
          <w:rStyle w:val="FootnoteReference"/>
          <w:sz w:val="22"/>
          <w:vertAlign w:val="superscript"/>
        </w:rPr>
        <w:footnoteReference w:id="29"/>
      </w:r>
      <w:r>
        <w:t xml:space="preserve"> While the Code is legally enforceable by the ACCC, there is a perception that, because the ACCC has not </w:t>
      </w:r>
      <w:r w:rsidR="001B129C">
        <w:t>had a public enforcement outcome under the Code</w:t>
      </w:r>
      <w:r>
        <w:t xml:space="preserve">, compliance is, in effect, voluntary. </w:t>
      </w:r>
    </w:p>
    <w:p w14:paraId="579F97E6" w14:textId="77777777" w:rsidR="00814074" w:rsidRDefault="00814074" w:rsidP="00814074">
      <w:pPr>
        <w:pStyle w:val="Heading4"/>
      </w:pPr>
      <w:r>
        <w:t>To whom should a mandatory code apply?</w:t>
      </w:r>
    </w:p>
    <w:p w14:paraId="20933FE1" w14:textId="77777777" w:rsidR="00814074" w:rsidRDefault="00814074" w:rsidP="00814074">
      <w:r>
        <w:t>I</w:t>
      </w:r>
      <w:r w:rsidRPr="002A1FA2">
        <w:t xml:space="preserve">f the Code </w:t>
      </w:r>
      <w:r>
        <w:t xml:space="preserve">were made </w:t>
      </w:r>
      <w:r w:rsidRPr="002A1FA2">
        <w:t>mandatory,</w:t>
      </w:r>
      <w:r>
        <w:t xml:space="preserve"> the next question would be – for whom?</w:t>
      </w:r>
    </w:p>
    <w:p w14:paraId="4C064EBD" w14:textId="77777777" w:rsidR="00814074" w:rsidRDefault="00814074" w:rsidP="00814074">
      <w:r>
        <w:t>Since the objective of the Code is to address the bargaining power imbalance between major supermarkets and suppliers, it would seem appropriate to apply the Code only to supermarkets above a minimum threshold, or that have a material market share.  In view of the compliance burden that would be imposed on smaller supermarkets, it may not be appropriate to require all market participants to be covered by the Code.</w:t>
      </w:r>
    </w:p>
    <w:p w14:paraId="290784C0" w14:textId="77777777" w:rsidR="00814074" w:rsidRDefault="00814074" w:rsidP="00814074">
      <w:r>
        <w:t>On the other hand, it could also be argued that the Code should apply to all supermarkets, irrespective or market share or profit, creating a level playing for all.  This would also ensure that supermarkets that have substantial power in their local market would be included.</w:t>
      </w:r>
    </w:p>
    <w:tbl>
      <w:tblPr>
        <w:tblStyle w:val="TableGrid"/>
        <w:tblW w:w="0" w:type="auto"/>
        <w:tblLook w:val="04A0" w:firstRow="1" w:lastRow="0" w:firstColumn="1" w:lastColumn="0" w:noHBand="0" w:noVBand="1"/>
      </w:tblPr>
      <w:tblGrid>
        <w:gridCol w:w="8956"/>
      </w:tblGrid>
      <w:tr w:rsidR="00814074" w14:paraId="00882B54" w14:textId="77777777" w:rsidTr="00556E36">
        <w:trPr>
          <w:cnfStyle w:val="100000000000" w:firstRow="1" w:lastRow="0" w:firstColumn="0" w:lastColumn="0" w:oddVBand="0" w:evenVBand="0" w:oddHBand="0" w:evenHBand="0" w:firstRowFirstColumn="0" w:firstRowLastColumn="0" w:lastRowFirstColumn="0" w:lastRowLastColumn="0"/>
          <w:trHeight w:val="1276"/>
        </w:trPr>
        <w:tc>
          <w:tcPr>
            <w:tcW w:w="8956" w:type="dxa"/>
          </w:tcPr>
          <w:p w14:paraId="207C764B" w14:textId="77777777" w:rsidR="00814074" w:rsidRPr="00613BC1" w:rsidRDefault="00814074" w:rsidP="00556E36">
            <w:pPr>
              <w:pStyle w:val="BoxHeading"/>
              <w:spacing w:before="96" w:after="96"/>
              <w:rPr>
                <w:b/>
                <w:bCs/>
              </w:rPr>
            </w:pPr>
            <w:r>
              <w:rPr>
                <w:b/>
                <w:bCs/>
              </w:rPr>
              <w:lastRenderedPageBreak/>
              <w:t>Consultation Q</w:t>
            </w:r>
            <w:r w:rsidRPr="00613BC1">
              <w:rPr>
                <w:b/>
                <w:bCs/>
              </w:rPr>
              <w:t>uestion</w:t>
            </w:r>
            <w:r>
              <w:rPr>
                <w:b/>
                <w:bCs/>
              </w:rPr>
              <w:t>s</w:t>
            </w:r>
          </w:p>
          <w:p w14:paraId="61D2EC18" w14:textId="77777777" w:rsidR="00814074" w:rsidRPr="0034475B" w:rsidRDefault="00814074" w:rsidP="00556E36">
            <w:pPr>
              <w:pStyle w:val="Bullet"/>
              <w:tabs>
                <w:tab w:val="left" w:pos="720"/>
              </w:tabs>
              <w:spacing w:beforeLines="40" w:before="96" w:afterLines="40" w:after="96"/>
              <w:ind w:left="520" w:hanging="520"/>
              <w:rPr>
                <w:b w:val="0"/>
                <w:bCs/>
                <w:sz w:val="22"/>
                <w:szCs w:val="22"/>
              </w:rPr>
            </w:pPr>
            <w:r w:rsidRPr="0034475B">
              <w:rPr>
                <w:b w:val="0"/>
                <w:bCs/>
                <w:sz w:val="22"/>
                <w:szCs w:val="22"/>
              </w:rPr>
              <w:t>What dispute resolution model would most effectively facilitate positive outcomes for the industry, while also allaying suppliers concerns of retribution?</w:t>
            </w:r>
          </w:p>
          <w:p w14:paraId="73B82E2E" w14:textId="77777777" w:rsidR="00814074" w:rsidRPr="0034475B" w:rsidRDefault="00814074" w:rsidP="00556E36">
            <w:pPr>
              <w:pStyle w:val="Bullet"/>
              <w:tabs>
                <w:tab w:val="left" w:pos="720"/>
              </w:tabs>
              <w:spacing w:beforeLines="40" w:before="96" w:afterLines="40" w:after="96"/>
              <w:ind w:left="520" w:hanging="520"/>
              <w:rPr>
                <w:b w:val="0"/>
                <w:bCs/>
                <w:sz w:val="22"/>
                <w:szCs w:val="22"/>
              </w:rPr>
            </w:pPr>
            <w:r w:rsidRPr="0034475B">
              <w:rPr>
                <w:b w:val="0"/>
                <w:bCs/>
                <w:sz w:val="22"/>
                <w:szCs w:val="22"/>
              </w:rPr>
              <w:t>What benefits could a mandatory code bring to suppliers?</w:t>
            </w:r>
          </w:p>
          <w:p w14:paraId="7BD09644" w14:textId="77777777" w:rsidR="00814074" w:rsidRPr="0034475B" w:rsidRDefault="00814074" w:rsidP="00556E36">
            <w:pPr>
              <w:pStyle w:val="Bullet"/>
              <w:tabs>
                <w:tab w:val="left" w:pos="720"/>
              </w:tabs>
              <w:spacing w:beforeLines="40" w:before="96" w:afterLines="40" w:after="96"/>
              <w:ind w:left="520" w:hanging="520"/>
              <w:rPr>
                <w:b w:val="0"/>
                <w:bCs/>
                <w:sz w:val="22"/>
                <w:szCs w:val="22"/>
              </w:rPr>
            </w:pPr>
            <w:r w:rsidRPr="0034475B">
              <w:rPr>
                <w:b w:val="0"/>
                <w:bCs/>
                <w:sz w:val="22"/>
                <w:szCs w:val="22"/>
              </w:rPr>
              <w:t>If the Code were made mandatory, what should be the threshold for supermarkets to be included in the Code?</w:t>
            </w:r>
          </w:p>
          <w:p w14:paraId="0C219CC7" w14:textId="77777777" w:rsidR="00814074" w:rsidRPr="0000048F" w:rsidRDefault="00814074" w:rsidP="00556E36">
            <w:pPr>
              <w:pStyle w:val="Bullet"/>
              <w:tabs>
                <w:tab w:val="left" w:pos="720"/>
              </w:tabs>
              <w:spacing w:beforeLines="40" w:before="96" w:afterLines="40" w:after="96"/>
              <w:ind w:left="520" w:hanging="520"/>
              <w:rPr>
                <w:b w:val="0"/>
                <w:bCs/>
                <w:sz w:val="22"/>
                <w:szCs w:val="22"/>
              </w:rPr>
            </w:pPr>
            <w:r w:rsidRPr="0034475B">
              <w:rPr>
                <w:b w:val="0"/>
                <w:bCs/>
                <w:sz w:val="22"/>
                <w:szCs w:val="22"/>
              </w:rPr>
              <w:t>Would it be possible to keep all, or some, of the arbitration model of the current Code if it were made mandatory? If so, how?</w:t>
            </w:r>
          </w:p>
        </w:tc>
      </w:tr>
    </w:tbl>
    <w:p w14:paraId="02F2EF5D" w14:textId="77777777" w:rsidR="00814074" w:rsidRDefault="00814074" w:rsidP="00814074">
      <w:pPr>
        <w:pStyle w:val="Heading3"/>
      </w:pPr>
      <w:bookmarkStart w:id="17" w:name="_Toc157700849"/>
      <w:r>
        <w:t>Market power and suppliers’ fear of retributive action</w:t>
      </w:r>
      <w:bookmarkEnd w:id="17"/>
      <w:r>
        <w:t xml:space="preserve"> </w:t>
      </w:r>
    </w:p>
    <w:p w14:paraId="3CD57EF4" w14:textId="77777777" w:rsidR="00814074" w:rsidRPr="006D7CD1" w:rsidRDefault="00814074" w:rsidP="00814074">
      <w:pPr>
        <w:pStyle w:val="Heading4"/>
        <w:rPr>
          <w:rFonts w:ascii="Arial" w:hAnsi="Arial"/>
          <w:sz w:val="20"/>
        </w:rPr>
      </w:pPr>
      <w:r w:rsidRPr="006D7CD1">
        <w:t>The role of Code Arbiters</w:t>
      </w:r>
    </w:p>
    <w:p w14:paraId="65743682" w14:textId="52750A59" w:rsidR="00814074" w:rsidRPr="00DE41EB" w:rsidRDefault="00814074" w:rsidP="00814074">
      <w:pPr>
        <w:spacing w:before="100" w:beforeAutospacing="1" w:after="100" w:afterAutospacing="1"/>
      </w:pPr>
      <w:r w:rsidRPr="00DE41EB">
        <w:t>Under the Code, disputes between supermarkets and their suppliers can be dealt</w:t>
      </w:r>
      <w:r w:rsidR="002F62F6">
        <w:t xml:space="preserve"> with</w:t>
      </w:r>
      <w:r w:rsidRPr="00DE41EB">
        <w:t xml:space="preserve"> </w:t>
      </w:r>
      <w:r w:rsidR="00843001">
        <w:t>by an</w:t>
      </w:r>
      <w:r w:rsidRPr="00DE41EB">
        <w:t xml:space="preserve"> Arbiter. Each of the four signatories to the Code appoints its own Arbiter. The main role </w:t>
      </w:r>
      <w:r>
        <w:t xml:space="preserve">of Arbiters </w:t>
      </w:r>
      <w:r w:rsidRPr="00DE41EB">
        <w:t>is to resolve disputes between supermarkets and their suppliers.</w:t>
      </w:r>
    </w:p>
    <w:p w14:paraId="365BFEFB" w14:textId="6FA3130E" w:rsidR="00814074" w:rsidRPr="006D7CD1" w:rsidRDefault="00814074" w:rsidP="00814074">
      <w:pPr>
        <w:spacing w:before="100" w:beforeAutospacing="1" w:after="100" w:afterAutospacing="1"/>
        <w:rPr>
          <w:rFonts w:cstheme="minorHAnsi"/>
          <w:szCs w:val="22"/>
        </w:rPr>
      </w:pPr>
      <w:r>
        <w:t xml:space="preserve">Code Arbiters are responsible for investigating and resolving complaints </w:t>
      </w:r>
      <w:r w:rsidR="00104FC8">
        <w:t xml:space="preserve">relating to any </w:t>
      </w:r>
      <w:r w:rsidR="00DE5E4E">
        <w:t>matter regulated by</w:t>
      </w:r>
      <w:r>
        <w:t xml:space="preserve"> the Code. If a Code Arbiter find</w:t>
      </w:r>
      <w:r w:rsidR="00E85333">
        <w:t>s</w:t>
      </w:r>
      <w:r>
        <w:t xml:space="preserve"> in favour of the supplier, they will offer a proposed remedy that </w:t>
      </w:r>
      <w:r w:rsidRPr="00AE7BBF">
        <w:t xml:space="preserve">can include compensation of up to $5 million if </w:t>
      </w:r>
      <w:r>
        <w:t xml:space="preserve">the supplier has a </w:t>
      </w:r>
      <w:r w:rsidRPr="00AE7BBF">
        <w:t xml:space="preserve">suffered loss </w:t>
      </w:r>
      <w:proofErr w:type="gramStart"/>
      <w:r w:rsidRPr="00AE7BBF">
        <w:t>as a result of</w:t>
      </w:r>
      <w:proofErr w:type="gramEnd"/>
      <w:r w:rsidRPr="00AE7BBF">
        <w:t xml:space="preserve"> the</w:t>
      </w:r>
      <w:r>
        <w:t xml:space="preserve"> signatory’s actions. Suppliers dissatisfied with the handling of complaints by a Code Arbiter can refer matters to the Independent Reviewer, who is </w:t>
      </w:r>
      <w:r w:rsidR="005F0EFF">
        <w:t>M</w:t>
      </w:r>
      <w:r>
        <w:t xml:space="preserve">r Chris </w:t>
      </w:r>
      <w:proofErr w:type="spellStart"/>
      <w:r>
        <w:t>Leptos</w:t>
      </w:r>
      <w:proofErr w:type="spellEnd"/>
      <w:r w:rsidR="00F74BBF">
        <w:t xml:space="preserve"> AO</w:t>
      </w:r>
      <w:r>
        <w:t>.</w:t>
      </w:r>
    </w:p>
    <w:p w14:paraId="0251B04A" w14:textId="297E0693" w:rsidR="00814074" w:rsidRPr="00B4329E" w:rsidRDefault="00814074" w:rsidP="00814074">
      <w:pPr>
        <w:spacing w:before="100" w:beforeAutospacing="1" w:after="100" w:afterAutospacing="1"/>
      </w:pPr>
      <w:r w:rsidRPr="00B4329E">
        <w:t>Although Arbiters might want to do a very good job in resolving disputes between supermarkets and their suppliers, the ACCC has pointed to inherent weaknesses in the system of Arbiters:  </w:t>
      </w:r>
    </w:p>
    <w:p w14:paraId="12E4B6D7" w14:textId="6C528CF6" w:rsidR="00814074" w:rsidRDefault="00814074" w:rsidP="00814074">
      <w:pPr>
        <w:spacing w:before="100" w:beforeAutospacing="1" w:after="100" w:afterAutospacing="1"/>
        <w:ind w:left="720"/>
      </w:pPr>
      <w:r w:rsidRPr="00B4329E">
        <w:t> </w:t>
      </w:r>
      <w:r w:rsidRPr="0037199E">
        <w:rPr>
          <w:i/>
          <w:iCs/>
        </w:rPr>
        <w:t>“The ACCC remains of the view that a dispute resolution process where the decision-maker is appointed by and represents one of the parties to the dispute cannot be considered genuinely independent. Fear of retribution and the possible loss of access to volume markets are key factors that would inhibit suppliers from raising issues with a body so closely associated with the retailer/wholesaler they supply to</w:t>
      </w:r>
      <w:r w:rsidR="00FA0F6F">
        <w:rPr>
          <w:i/>
          <w:iCs/>
        </w:rPr>
        <w:t>.</w:t>
      </w:r>
      <w:r w:rsidRPr="0037199E">
        <w:rPr>
          <w:i/>
          <w:iCs/>
        </w:rPr>
        <w:t>”</w:t>
      </w:r>
      <w:r w:rsidR="00EF2F6F" w:rsidRPr="00EF2F6F">
        <w:rPr>
          <w:rStyle w:val="FootnoteReference"/>
          <w:sz w:val="22"/>
          <w:vertAlign w:val="superscript"/>
        </w:rPr>
        <w:t xml:space="preserve"> </w:t>
      </w:r>
      <w:r w:rsidR="00EF2F6F" w:rsidRPr="00EF2F6F">
        <w:rPr>
          <w:rStyle w:val="FootnoteReference"/>
          <w:sz w:val="22"/>
          <w:vertAlign w:val="superscript"/>
        </w:rPr>
        <w:footnoteReference w:id="30"/>
      </w:r>
    </w:p>
    <w:p w14:paraId="6B47132C" w14:textId="1795AA8F" w:rsidR="00814074" w:rsidRPr="00B4329E" w:rsidRDefault="00814074" w:rsidP="00814074">
      <w:pPr>
        <w:spacing w:before="100" w:beforeAutospacing="1" w:after="100" w:afterAutospacing="1"/>
      </w:pPr>
      <w:r w:rsidRPr="00B4329E">
        <w:t>The ACCC added:</w:t>
      </w:r>
    </w:p>
    <w:p w14:paraId="20B77141" w14:textId="44CECAEE" w:rsidR="00814074" w:rsidRPr="00B4329E" w:rsidRDefault="00814074" w:rsidP="00814074">
      <w:pPr>
        <w:spacing w:before="100" w:beforeAutospacing="1" w:after="100" w:afterAutospacing="1"/>
        <w:ind w:left="720"/>
      </w:pPr>
      <w:r w:rsidRPr="0037199E">
        <w:rPr>
          <w:i/>
          <w:iCs/>
        </w:rPr>
        <w:t xml:space="preserve">“We maintain that the code and the businesses (particularly small businesses) that make up so much of Australia’s grocery supply chains require a genuinely independent dispute resolution process. This process should ensure that those considering and determining </w:t>
      </w:r>
      <w:r w:rsidRPr="0037199E">
        <w:rPr>
          <w:i/>
          <w:iCs/>
        </w:rPr>
        <w:lastRenderedPageBreak/>
        <w:t>disputes are, and are perceived to be, fully independent from the retailers and wholesalers who hold the bargaining power advantage in dealings with suppliers</w:t>
      </w:r>
      <w:r w:rsidR="00FA0F6F">
        <w:rPr>
          <w:i/>
          <w:iCs/>
        </w:rPr>
        <w:t>.</w:t>
      </w:r>
      <w:r w:rsidRPr="0037199E">
        <w:rPr>
          <w:i/>
          <w:iCs/>
        </w:rPr>
        <w:t>”</w:t>
      </w:r>
      <w:r w:rsidR="00EF2F6F" w:rsidRPr="00EF2F6F">
        <w:rPr>
          <w:rStyle w:val="FootnoteReference"/>
          <w:sz w:val="22"/>
          <w:vertAlign w:val="superscript"/>
        </w:rPr>
        <w:t xml:space="preserve"> </w:t>
      </w:r>
      <w:r w:rsidR="00EF2F6F" w:rsidRPr="00EF2F6F">
        <w:rPr>
          <w:rStyle w:val="FootnoteReference"/>
          <w:sz w:val="22"/>
          <w:vertAlign w:val="superscript"/>
        </w:rPr>
        <w:footnoteReference w:id="31"/>
      </w:r>
      <w:r w:rsidR="00EF2F6F" w:rsidRPr="00EF2F6F">
        <w:rPr>
          <w:rStyle w:val="FootnoteReference"/>
          <w:sz w:val="22"/>
          <w:vertAlign w:val="superscript"/>
        </w:rPr>
        <w:t> </w:t>
      </w:r>
    </w:p>
    <w:p w14:paraId="38807E3D" w14:textId="77777777" w:rsidR="00814074" w:rsidRDefault="00814074" w:rsidP="00814074">
      <w:pPr>
        <w:rPr>
          <w:bCs/>
        </w:rPr>
      </w:pPr>
      <w:r>
        <w:rPr>
          <w:bCs/>
        </w:rPr>
        <w:t>The ACCC has also commented on the general operation of the Code stating that:</w:t>
      </w:r>
    </w:p>
    <w:p w14:paraId="3477C9C5" w14:textId="1FD429A8" w:rsidR="00814074" w:rsidRDefault="00814074" w:rsidP="00814074">
      <w:pPr>
        <w:ind w:left="709"/>
      </w:pPr>
      <w:r>
        <w:rPr>
          <w:bCs/>
        </w:rPr>
        <w:t xml:space="preserve"> </w:t>
      </w:r>
      <w:r w:rsidRPr="0037199E">
        <w:rPr>
          <w:bCs/>
          <w:i/>
          <w:iCs/>
        </w:rPr>
        <w:t>“… the weaknesses in the dispute resolution provisions are inextricably linked to the fundamental weaknesses in the code as a voluntary code</w:t>
      </w:r>
      <w:r w:rsidR="003E13C6">
        <w:rPr>
          <w:bCs/>
          <w:i/>
          <w:iCs/>
        </w:rPr>
        <w:t>.</w:t>
      </w:r>
      <w:r w:rsidRPr="0037199E">
        <w:rPr>
          <w:bCs/>
          <w:i/>
          <w:iCs/>
        </w:rPr>
        <w:t>”</w:t>
      </w:r>
      <w:r w:rsidR="00EF2F6F">
        <w:rPr>
          <w:bCs/>
          <w:i/>
          <w:iCs/>
        </w:rPr>
        <w:t xml:space="preserve"> </w:t>
      </w:r>
      <w:r w:rsidRPr="00EF2F6F">
        <w:rPr>
          <w:rStyle w:val="FootnoteReference"/>
          <w:sz w:val="22"/>
          <w:vertAlign w:val="superscript"/>
        </w:rPr>
        <w:footnoteReference w:id="32"/>
      </w:r>
    </w:p>
    <w:p w14:paraId="72845BB6" w14:textId="314CB28C" w:rsidR="00814074" w:rsidRDefault="00814074" w:rsidP="00814074">
      <w:r>
        <w:t xml:space="preserve">The Independent Reviewer is appointed by the Treasurer </w:t>
      </w:r>
      <w:r>
        <w:rPr>
          <w:rStyle w:val="normaltextrun"/>
          <w:rFonts w:cs="Calibri"/>
          <w:color w:val="000000"/>
          <w:bdr w:val="none" w:sz="0" w:space="0" w:color="auto" w:frame="1"/>
        </w:rPr>
        <w:t xml:space="preserve">to oversee the dispute resolution process under the Code. </w:t>
      </w:r>
      <w:r>
        <w:t xml:space="preserve">Upon a supplier’s request for a review, the Independent Reviewer </w:t>
      </w:r>
      <w:r w:rsidR="0034581D">
        <w:t xml:space="preserve">must </w:t>
      </w:r>
      <w:r>
        <w:t xml:space="preserve">decide whether to </w:t>
      </w:r>
      <w:r w:rsidR="002D4259">
        <w:t xml:space="preserve">conduct a review. The Independent Reviewer can </w:t>
      </w:r>
      <w:r>
        <w:t xml:space="preserve">investigate the case, seek further information, recommend that the Code Arbiter reconsider the case and/or refer the matter to the ACCC if a possible breach of the Code has occurred. In addition </w:t>
      </w:r>
      <w:r w:rsidRPr="00AB19C2">
        <w:t xml:space="preserve">to assessing referred cases, the Independent Reviewer is also responsible for </w:t>
      </w:r>
      <w:r w:rsidRPr="00AB19C2">
        <w:rPr>
          <w:rStyle w:val="normaltextrun"/>
          <w:rFonts w:cs="Calibri"/>
          <w:color w:val="000000"/>
          <w:shd w:val="clear" w:color="auto" w:fill="FFFFFF"/>
        </w:rPr>
        <w:t>conducting an annual survey of suppliers</w:t>
      </w:r>
      <w:r>
        <w:rPr>
          <w:rStyle w:val="normaltextrun"/>
          <w:rFonts w:cs="Calibri"/>
          <w:color w:val="000000"/>
          <w:shd w:val="clear" w:color="auto" w:fill="FFFFFF"/>
        </w:rPr>
        <w:t>, retailers and wholesalers relating to the operation of the Code and producing an annual report on its operation.</w:t>
      </w:r>
    </w:p>
    <w:tbl>
      <w:tblPr>
        <w:tblStyle w:val="TableGrid"/>
        <w:tblW w:w="0" w:type="auto"/>
        <w:tblLook w:val="04A0" w:firstRow="1" w:lastRow="0" w:firstColumn="1" w:lastColumn="0" w:noHBand="0" w:noVBand="1"/>
      </w:tblPr>
      <w:tblGrid>
        <w:gridCol w:w="8956"/>
      </w:tblGrid>
      <w:tr w:rsidR="00814074" w14:paraId="3F7B5CBB" w14:textId="77777777" w:rsidTr="00556E36">
        <w:trPr>
          <w:cnfStyle w:val="100000000000" w:firstRow="1" w:lastRow="0" w:firstColumn="0" w:lastColumn="0" w:oddVBand="0" w:evenVBand="0" w:oddHBand="0" w:evenHBand="0" w:firstRowFirstColumn="0" w:firstRowLastColumn="0" w:lastRowFirstColumn="0" w:lastRowLastColumn="0"/>
          <w:trHeight w:val="1276"/>
        </w:trPr>
        <w:tc>
          <w:tcPr>
            <w:tcW w:w="8956" w:type="dxa"/>
          </w:tcPr>
          <w:p w14:paraId="5ABF4A74" w14:textId="77777777" w:rsidR="00814074" w:rsidRPr="00613BC1" w:rsidRDefault="00814074" w:rsidP="00556E36">
            <w:pPr>
              <w:pStyle w:val="BoxHeading"/>
              <w:spacing w:before="96" w:after="96"/>
              <w:rPr>
                <w:b/>
                <w:bCs/>
              </w:rPr>
            </w:pPr>
            <w:r>
              <w:rPr>
                <w:b/>
                <w:bCs/>
              </w:rPr>
              <w:t>Consultation Q</w:t>
            </w:r>
            <w:r w:rsidRPr="00613BC1">
              <w:rPr>
                <w:b/>
                <w:bCs/>
              </w:rPr>
              <w:t>uestion</w:t>
            </w:r>
            <w:r>
              <w:rPr>
                <w:b/>
                <w:bCs/>
              </w:rPr>
              <w:t>s</w:t>
            </w:r>
          </w:p>
          <w:p w14:paraId="77982F5C" w14:textId="77777777" w:rsidR="00814074" w:rsidRPr="00EB0A8F" w:rsidRDefault="00814074" w:rsidP="00556E36">
            <w:pPr>
              <w:pStyle w:val="Bullet"/>
              <w:tabs>
                <w:tab w:val="left" w:pos="720"/>
              </w:tabs>
              <w:spacing w:beforeLines="40" w:before="96" w:afterLines="40" w:after="96"/>
              <w:ind w:left="520" w:hanging="520"/>
              <w:rPr>
                <w:b w:val="0"/>
                <w:bCs/>
                <w:sz w:val="22"/>
                <w:szCs w:val="22"/>
              </w:rPr>
            </w:pPr>
            <w:r w:rsidRPr="00713DD3">
              <w:rPr>
                <w:b w:val="0"/>
                <w:bCs/>
                <w:sz w:val="22"/>
                <w:szCs w:val="22"/>
              </w:rPr>
              <w:t>Are Code Arbiters perceived to be independent from the supermarkets that they oversee?</w:t>
            </w:r>
          </w:p>
          <w:p w14:paraId="245DD9DB" w14:textId="77777777" w:rsidR="00814074" w:rsidRPr="005145A6" w:rsidRDefault="00814074" w:rsidP="00556E36">
            <w:pPr>
              <w:pStyle w:val="Bullet"/>
              <w:tabs>
                <w:tab w:val="left" w:pos="720"/>
              </w:tabs>
              <w:spacing w:beforeLines="40" w:before="96" w:afterLines="40" w:after="96"/>
              <w:ind w:left="520" w:hanging="520"/>
              <w:rPr>
                <w:b w:val="0"/>
                <w:bCs/>
                <w:sz w:val="22"/>
                <w:szCs w:val="22"/>
              </w:rPr>
            </w:pPr>
            <w:r w:rsidRPr="00713DD3">
              <w:rPr>
                <w:b w:val="0"/>
                <w:bCs/>
                <w:sz w:val="22"/>
                <w:szCs w:val="22"/>
              </w:rPr>
              <w:t>If not, how could the reality and perception of independence of Code Arbiters be enhanced?</w:t>
            </w:r>
          </w:p>
        </w:tc>
      </w:tr>
    </w:tbl>
    <w:p w14:paraId="7AA15848" w14:textId="77777777" w:rsidR="00814074" w:rsidRPr="006D7CD1" w:rsidRDefault="00814074" w:rsidP="00814074">
      <w:pPr>
        <w:pStyle w:val="Heading4"/>
        <w:rPr>
          <w:rFonts w:ascii="Arial" w:hAnsi="Arial"/>
          <w:sz w:val="20"/>
        </w:rPr>
      </w:pPr>
      <w:r>
        <w:t>Overcoming the fear of retributive action</w:t>
      </w:r>
    </w:p>
    <w:p w14:paraId="1AC4C702" w14:textId="77777777" w:rsidR="00814074" w:rsidRDefault="00814074" w:rsidP="00814074">
      <w:r>
        <w:t>A major challenge for the Code is addressing the fear of retribution by supermarkets against a supplier who raises a complaint.</w:t>
      </w:r>
    </w:p>
    <w:p w14:paraId="0A134D27" w14:textId="77777777" w:rsidR="00814074" w:rsidRDefault="00814074" w:rsidP="00814074">
      <w:r>
        <w:t>A very low number of formal complaints have been raised under the Code since its inception.  The 2018 Review of the Code by Graeme Samuel noted that:</w:t>
      </w:r>
    </w:p>
    <w:p w14:paraId="21839834" w14:textId="2585C46A" w:rsidR="00814074" w:rsidRPr="009C33CB" w:rsidRDefault="00814074" w:rsidP="00814074">
      <w:pPr>
        <w:pStyle w:val="ListParagraph"/>
        <w:spacing w:before="0" w:after="0"/>
        <w:contextualSpacing w:val="0"/>
        <w:rPr>
          <w:rStyle w:val="normaltextrun"/>
          <w:i/>
          <w:iCs/>
          <w:color w:val="000000"/>
          <w:shd w:val="clear" w:color="auto" w:fill="FFFFFF"/>
        </w:rPr>
      </w:pPr>
      <w:r w:rsidRPr="009C33CB">
        <w:rPr>
          <w:i/>
          <w:iCs/>
        </w:rPr>
        <w:t>“</w:t>
      </w:r>
      <w:r>
        <w:rPr>
          <w:i/>
          <w:iCs/>
        </w:rPr>
        <w:t>T</w:t>
      </w:r>
      <w:r w:rsidRPr="009C33CB">
        <w:rPr>
          <w:rStyle w:val="normaltextrun"/>
          <w:i/>
          <w:iCs/>
          <w:color w:val="000000"/>
          <w:shd w:val="clear" w:color="auto" w:fill="FFFFFF"/>
        </w:rPr>
        <w:t>he Review has not received evidence that any disputes have been taken to mediation or arbitration since the introduction of the Grocery Code”</w:t>
      </w:r>
      <w:r w:rsidR="00EF2F6F">
        <w:rPr>
          <w:rStyle w:val="normaltextrun"/>
          <w:i/>
          <w:iCs/>
          <w:color w:val="000000"/>
          <w:shd w:val="clear" w:color="auto" w:fill="FFFFFF"/>
        </w:rPr>
        <w:t xml:space="preserve"> </w:t>
      </w:r>
      <w:r w:rsidR="00057712" w:rsidRPr="00EF2F6F">
        <w:rPr>
          <w:rStyle w:val="FootnoteReference"/>
          <w:sz w:val="22"/>
          <w:vertAlign w:val="superscript"/>
        </w:rPr>
        <w:footnoteReference w:id="33"/>
      </w:r>
    </w:p>
    <w:p w14:paraId="5072BDDC" w14:textId="77777777" w:rsidR="00814074" w:rsidRDefault="00814074" w:rsidP="00814074">
      <w:pPr>
        <w:pStyle w:val="ListParagraph"/>
        <w:spacing w:before="0" w:after="0"/>
        <w:contextualSpacing w:val="0"/>
      </w:pPr>
    </w:p>
    <w:p w14:paraId="5CEA78E3" w14:textId="77777777" w:rsidR="00814074" w:rsidRDefault="00814074" w:rsidP="00814074">
      <w:pPr>
        <w:keepNext/>
        <w:spacing w:before="0" w:after="0"/>
        <w:rPr>
          <w:rStyle w:val="normaltextrun"/>
          <w:color w:val="000000"/>
          <w:shd w:val="clear" w:color="auto" w:fill="FFFFFF"/>
        </w:rPr>
      </w:pPr>
      <w:r>
        <w:rPr>
          <w:rStyle w:val="normaltextrun"/>
          <w:color w:val="000000"/>
          <w:shd w:val="clear" w:color="auto" w:fill="FFFFFF"/>
        </w:rPr>
        <w:t>Yet the Samuel Review also noted that:</w:t>
      </w:r>
    </w:p>
    <w:p w14:paraId="2A2C7FBF" w14:textId="77777777" w:rsidR="00814074" w:rsidRDefault="00814074" w:rsidP="00814074">
      <w:pPr>
        <w:keepNext/>
        <w:spacing w:before="0" w:after="0"/>
        <w:rPr>
          <w:rStyle w:val="normaltextrun"/>
          <w:color w:val="000000"/>
          <w:shd w:val="clear" w:color="auto" w:fill="FFFFFF"/>
        </w:rPr>
      </w:pPr>
    </w:p>
    <w:p w14:paraId="082D8FB7" w14:textId="1A33EB29" w:rsidR="00814074" w:rsidRPr="00D650FC" w:rsidRDefault="00814074" w:rsidP="00814074">
      <w:pPr>
        <w:spacing w:before="0" w:after="0"/>
        <w:ind w:left="720"/>
        <w:rPr>
          <w:i/>
          <w:iCs/>
        </w:rPr>
      </w:pPr>
      <w:r w:rsidRPr="00E6379F">
        <w:rPr>
          <w:rStyle w:val="normaltextrun"/>
          <w:i/>
          <w:iCs/>
          <w:color w:val="000000"/>
          <w:shd w:val="clear" w:color="auto" w:fill="FFFFFF"/>
        </w:rPr>
        <w:t>“… some suppliers have achieved positive dispute resolution outcomes from utilising the Kennett Model (referral to independent arbiter as a representative of signatory) at Coles, with some stakeholders providing examples where they have used this process and sought satisfactory outcomes, such as changes to contracts or compensation</w:t>
      </w:r>
      <w:r w:rsidR="00057712">
        <w:rPr>
          <w:rStyle w:val="normaltextrun"/>
          <w:i/>
          <w:iCs/>
          <w:color w:val="000000"/>
          <w:shd w:val="clear" w:color="auto" w:fill="FFFFFF"/>
        </w:rPr>
        <w:t>.</w:t>
      </w:r>
      <w:r w:rsidRPr="00E6379F">
        <w:rPr>
          <w:rStyle w:val="normaltextrun"/>
          <w:i/>
          <w:iCs/>
          <w:color w:val="000000"/>
          <w:shd w:val="clear" w:color="auto" w:fill="FFFFFF"/>
        </w:rPr>
        <w:t>”</w:t>
      </w:r>
      <w:r>
        <w:rPr>
          <w:rStyle w:val="normaltextrun"/>
          <w:i/>
          <w:iCs/>
          <w:color w:val="000000"/>
          <w:shd w:val="clear" w:color="auto" w:fill="FFFFFF"/>
        </w:rPr>
        <w:t xml:space="preserve"> </w:t>
      </w:r>
      <w:r w:rsidR="00057712" w:rsidRPr="002B21FC">
        <w:rPr>
          <w:rStyle w:val="FootnoteReference"/>
          <w:sz w:val="22"/>
          <w:vertAlign w:val="superscript"/>
        </w:rPr>
        <w:footnoteReference w:id="34"/>
      </w:r>
    </w:p>
    <w:p w14:paraId="56EF2457" w14:textId="31ADD49A" w:rsidR="00814074" w:rsidRDefault="00814074" w:rsidP="00814074">
      <w:r>
        <w:lastRenderedPageBreak/>
        <w:t>S</w:t>
      </w:r>
      <w:r w:rsidRPr="00037937">
        <w:t xml:space="preserve">ince </w:t>
      </w:r>
      <w:r>
        <w:t xml:space="preserve">the reporting of formal complaints commenced in 2020 </w:t>
      </w:r>
      <w:r w:rsidRPr="00037937">
        <w:t xml:space="preserve">only </w:t>
      </w:r>
      <w:r w:rsidR="009F4031">
        <w:t>five</w:t>
      </w:r>
      <w:r w:rsidRPr="009351F6">
        <w:t xml:space="preserve"> formal </w:t>
      </w:r>
      <w:r w:rsidRPr="00037937">
        <w:t>complaints</w:t>
      </w:r>
      <w:r w:rsidRPr="009351F6">
        <w:t xml:space="preserve"> </w:t>
      </w:r>
      <w:r w:rsidRPr="00037937">
        <w:t>have been made (Table 1). </w:t>
      </w:r>
    </w:p>
    <w:p w14:paraId="2F51F4AC" w14:textId="77777777" w:rsidR="00814074" w:rsidRPr="00037937" w:rsidRDefault="00814074" w:rsidP="00814074">
      <w:pPr>
        <w:pStyle w:val="Heading4"/>
        <w:rPr>
          <w:rFonts w:ascii="Segoe UI" w:hAnsi="Segoe UI" w:cs="Segoe UI"/>
          <w:sz w:val="18"/>
          <w:szCs w:val="18"/>
        </w:rPr>
      </w:pPr>
      <w:r>
        <w:t>Table 1.</w:t>
      </w:r>
      <w:r w:rsidRPr="00037937">
        <w:t xml:space="preserve"> Number and nature of complaints</w:t>
      </w:r>
      <w:r w:rsidRPr="00031A43">
        <w:rPr>
          <w:rStyle w:val="FootnoteReference"/>
          <w:rFonts w:asciiTheme="minorHAnsi" w:hAnsiTheme="minorHAnsi" w:cs="Times New Roman"/>
          <w:b w:val="0"/>
          <w:kern w:val="0"/>
          <w:sz w:val="22"/>
          <w:szCs w:val="20"/>
          <w:vertAlign w:val="superscript"/>
        </w:rPr>
        <w:footnoteReference w:id="35"/>
      </w:r>
      <w:r w:rsidRPr="00031A43">
        <w:rPr>
          <w:rStyle w:val="FootnoteReference"/>
          <w:rFonts w:asciiTheme="minorHAnsi" w:hAnsiTheme="minorHAnsi" w:cs="Times New Roman"/>
          <w:b w:val="0"/>
          <w:kern w:val="0"/>
          <w:sz w:val="22"/>
          <w:szCs w:val="20"/>
          <w:vertAlign w:val="superscript"/>
        </w:rPr>
        <w:t> </w:t>
      </w:r>
    </w:p>
    <w:tbl>
      <w:tblPr>
        <w:tblStyle w:val="FoodandGrocery"/>
        <w:tblW w:w="0" w:type="auto"/>
        <w:tblInd w:w="0" w:type="dxa"/>
        <w:tblLook w:val="04A0" w:firstRow="1" w:lastRow="0" w:firstColumn="1" w:lastColumn="0" w:noHBand="0" w:noVBand="1"/>
        <w:tblCaption w:val="Table"/>
      </w:tblPr>
      <w:tblGrid>
        <w:gridCol w:w="2405"/>
        <w:gridCol w:w="2218"/>
        <w:gridCol w:w="2218"/>
        <w:gridCol w:w="2219"/>
      </w:tblGrid>
      <w:tr w:rsidR="00814074" w14:paraId="1D068954" w14:textId="77777777" w:rsidTr="00556E36">
        <w:trPr>
          <w:cnfStyle w:val="100000000000" w:firstRow="1" w:lastRow="0" w:firstColumn="0" w:lastColumn="0" w:oddVBand="0" w:evenVBand="0" w:oddHBand="0" w:evenHBand="0" w:firstRowFirstColumn="0" w:firstRowLastColumn="0" w:lastRowFirstColumn="0" w:lastRowLastColumn="0"/>
          <w:tblHeader/>
        </w:trPr>
        <w:tc>
          <w:tcPr>
            <w:tcW w:w="2405" w:type="dxa"/>
            <w:vMerge w:val="restart"/>
            <w:tcBorders>
              <w:top w:val="single" w:sz="4" w:space="0" w:color="B2B2B2" w:themeColor="accent2"/>
              <w:left w:val="single" w:sz="4" w:space="0" w:color="B2B2B2" w:themeColor="accent2"/>
              <w:bottom w:val="nil"/>
              <w:right w:val="nil"/>
            </w:tcBorders>
            <w:hideMark/>
          </w:tcPr>
          <w:p w14:paraId="762446DE" w14:textId="77777777" w:rsidR="00814074" w:rsidRDefault="00814074" w:rsidP="00556E36">
            <w:pPr>
              <w:pStyle w:val="TableColumnHeadingLeft"/>
              <w:spacing w:before="96" w:after="96"/>
              <w:rPr>
                <w:lang w:eastAsia="en-US"/>
              </w:rPr>
            </w:pPr>
            <w:r>
              <w:rPr>
                <w:lang w:eastAsia="en-US"/>
              </w:rPr>
              <w:t>Code Signatory</w:t>
            </w:r>
          </w:p>
        </w:tc>
        <w:tc>
          <w:tcPr>
            <w:tcW w:w="6655" w:type="dxa"/>
            <w:gridSpan w:val="3"/>
            <w:tcBorders>
              <w:top w:val="single" w:sz="4" w:space="0" w:color="B2B2B2" w:themeColor="accent2"/>
              <w:left w:val="nil"/>
              <w:bottom w:val="nil"/>
              <w:right w:val="single" w:sz="4" w:space="0" w:color="B2B2B2" w:themeColor="accent2"/>
            </w:tcBorders>
            <w:hideMark/>
          </w:tcPr>
          <w:p w14:paraId="68BFB16D" w14:textId="77777777" w:rsidR="00814074" w:rsidRDefault="00814074" w:rsidP="00556E36">
            <w:pPr>
              <w:pStyle w:val="TableColumnHeadingCentred"/>
              <w:spacing w:before="96" w:after="96"/>
              <w:rPr>
                <w:lang w:eastAsia="en-US"/>
              </w:rPr>
            </w:pPr>
            <w:r>
              <w:rPr>
                <w:lang w:eastAsia="en-US"/>
              </w:rPr>
              <w:t>Number of formal complaints</w:t>
            </w:r>
          </w:p>
        </w:tc>
      </w:tr>
      <w:tr w:rsidR="00814074" w14:paraId="28945C9A" w14:textId="77777777" w:rsidTr="00556E36">
        <w:trPr>
          <w:cnfStyle w:val="100000000000" w:firstRow="1" w:lastRow="0" w:firstColumn="0" w:lastColumn="0" w:oddVBand="0" w:evenVBand="0" w:oddHBand="0" w:evenHBand="0" w:firstRowFirstColumn="0" w:firstRowLastColumn="0" w:lastRowFirstColumn="0" w:lastRowLastColumn="0"/>
          <w:tblHeader/>
        </w:trPr>
        <w:tc>
          <w:tcPr>
            <w:tcW w:w="0" w:type="auto"/>
            <w:vMerge/>
            <w:vAlign w:val="center"/>
            <w:hideMark/>
          </w:tcPr>
          <w:p w14:paraId="1ECF101E" w14:textId="77777777" w:rsidR="00814074" w:rsidRDefault="00814074" w:rsidP="00556E36">
            <w:pPr>
              <w:spacing w:before="96" w:after="96"/>
              <w:rPr>
                <w:b/>
                <w:color w:val="FFFFFF" w:themeColor="background1"/>
                <w:kern w:val="16"/>
                <w:sz w:val="20"/>
              </w:rPr>
            </w:pPr>
          </w:p>
        </w:tc>
        <w:tc>
          <w:tcPr>
            <w:tcW w:w="2218" w:type="dxa"/>
            <w:tcBorders>
              <w:top w:val="nil"/>
              <w:left w:val="nil"/>
              <w:bottom w:val="nil"/>
              <w:right w:val="nil"/>
            </w:tcBorders>
            <w:hideMark/>
          </w:tcPr>
          <w:p w14:paraId="08AA1602" w14:textId="77777777" w:rsidR="00814074" w:rsidRDefault="00814074" w:rsidP="00556E36">
            <w:pPr>
              <w:pStyle w:val="TableColumnHeadingCentred"/>
              <w:spacing w:before="96" w:after="96"/>
              <w:rPr>
                <w:lang w:eastAsia="en-US"/>
              </w:rPr>
            </w:pPr>
            <w:r>
              <w:rPr>
                <w:lang w:eastAsia="en-US"/>
              </w:rPr>
              <w:t>2020–21</w:t>
            </w:r>
          </w:p>
        </w:tc>
        <w:tc>
          <w:tcPr>
            <w:tcW w:w="2218" w:type="dxa"/>
            <w:tcBorders>
              <w:top w:val="nil"/>
              <w:left w:val="nil"/>
              <w:bottom w:val="nil"/>
              <w:right w:val="nil"/>
            </w:tcBorders>
            <w:hideMark/>
          </w:tcPr>
          <w:p w14:paraId="001B0CAB" w14:textId="77777777" w:rsidR="00814074" w:rsidRDefault="00814074" w:rsidP="00556E36">
            <w:pPr>
              <w:pStyle w:val="TableColumnHeadingCentred"/>
              <w:spacing w:before="96" w:after="96"/>
              <w:rPr>
                <w:lang w:eastAsia="en-US"/>
              </w:rPr>
            </w:pPr>
            <w:r>
              <w:rPr>
                <w:lang w:eastAsia="en-US"/>
              </w:rPr>
              <w:t>2021–22</w:t>
            </w:r>
          </w:p>
        </w:tc>
        <w:tc>
          <w:tcPr>
            <w:tcW w:w="2219" w:type="dxa"/>
            <w:tcBorders>
              <w:top w:val="nil"/>
              <w:left w:val="nil"/>
              <w:bottom w:val="nil"/>
              <w:right w:val="single" w:sz="4" w:space="0" w:color="B2B2B2" w:themeColor="accent2"/>
            </w:tcBorders>
            <w:hideMark/>
          </w:tcPr>
          <w:p w14:paraId="28C1A99B" w14:textId="77777777" w:rsidR="00814074" w:rsidRDefault="00814074" w:rsidP="00556E36">
            <w:pPr>
              <w:pStyle w:val="TableColumnHeadingCentred"/>
              <w:spacing w:before="96" w:after="96"/>
              <w:rPr>
                <w:lang w:eastAsia="en-US"/>
              </w:rPr>
            </w:pPr>
            <w:r>
              <w:rPr>
                <w:lang w:eastAsia="en-US"/>
              </w:rPr>
              <w:t>2022–23</w:t>
            </w:r>
          </w:p>
        </w:tc>
      </w:tr>
      <w:tr w:rsidR="00814074" w14:paraId="2E0BF8AE" w14:textId="77777777" w:rsidTr="00556E36">
        <w:tc>
          <w:tcPr>
            <w:tcW w:w="2405" w:type="dxa"/>
            <w:tcBorders>
              <w:top w:val="nil"/>
              <w:left w:val="single" w:sz="4" w:space="0" w:color="B2B2B2" w:themeColor="accent2"/>
              <w:bottom w:val="nil"/>
              <w:right w:val="nil"/>
            </w:tcBorders>
            <w:hideMark/>
          </w:tcPr>
          <w:p w14:paraId="5EB15822" w14:textId="77777777" w:rsidR="00814074" w:rsidRDefault="00814074" w:rsidP="00556E36">
            <w:pPr>
              <w:pStyle w:val="TableTextLeft"/>
              <w:rPr>
                <w:b/>
                <w:lang w:eastAsia="en-US"/>
              </w:rPr>
            </w:pPr>
            <w:r>
              <w:rPr>
                <w:b/>
                <w:lang w:eastAsia="en-US"/>
              </w:rPr>
              <w:t>Woolworths</w:t>
            </w:r>
            <w:r w:rsidRPr="00031A43">
              <w:rPr>
                <w:rStyle w:val="FootnoteReference"/>
                <w:color w:val="000000" w:themeColor="text1"/>
                <w:sz w:val="22"/>
                <w:vertAlign w:val="superscript"/>
              </w:rPr>
              <w:footnoteReference w:id="36"/>
            </w:r>
          </w:p>
        </w:tc>
        <w:tc>
          <w:tcPr>
            <w:tcW w:w="2218" w:type="dxa"/>
            <w:tcBorders>
              <w:top w:val="nil"/>
              <w:left w:val="nil"/>
              <w:bottom w:val="nil"/>
              <w:right w:val="nil"/>
            </w:tcBorders>
            <w:hideMark/>
          </w:tcPr>
          <w:p w14:paraId="548F0889" w14:textId="77777777" w:rsidR="00814074" w:rsidRDefault="00814074" w:rsidP="00556E36">
            <w:pPr>
              <w:pStyle w:val="TableTextCentered"/>
              <w:rPr>
                <w:lang w:eastAsia="en-US"/>
              </w:rPr>
            </w:pPr>
            <w:r>
              <w:rPr>
                <w:lang w:eastAsia="en-US"/>
              </w:rPr>
              <w:t>0 (a)</w:t>
            </w:r>
          </w:p>
        </w:tc>
        <w:tc>
          <w:tcPr>
            <w:tcW w:w="2218" w:type="dxa"/>
            <w:tcBorders>
              <w:top w:val="nil"/>
              <w:left w:val="nil"/>
              <w:bottom w:val="nil"/>
              <w:right w:val="nil"/>
            </w:tcBorders>
            <w:hideMark/>
          </w:tcPr>
          <w:p w14:paraId="0E475719" w14:textId="77777777" w:rsidR="00814074" w:rsidRDefault="00814074" w:rsidP="00556E36">
            <w:pPr>
              <w:pStyle w:val="TableTextCentered"/>
              <w:rPr>
                <w:lang w:eastAsia="en-US"/>
              </w:rPr>
            </w:pPr>
            <w:r>
              <w:rPr>
                <w:lang w:eastAsia="en-US"/>
              </w:rPr>
              <w:t>0</w:t>
            </w:r>
          </w:p>
        </w:tc>
        <w:tc>
          <w:tcPr>
            <w:tcW w:w="2219" w:type="dxa"/>
            <w:tcBorders>
              <w:top w:val="nil"/>
              <w:left w:val="nil"/>
              <w:bottom w:val="nil"/>
              <w:right w:val="single" w:sz="4" w:space="0" w:color="B2B2B2" w:themeColor="accent2"/>
            </w:tcBorders>
            <w:hideMark/>
          </w:tcPr>
          <w:p w14:paraId="61E52010" w14:textId="77777777" w:rsidR="00814074" w:rsidRDefault="00814074" w:rsidP="00556E36">
            <w:pPr>
              <w:pStyle w:val="TableTextCentered"/>
              <w:rPr>
                <w:lang w:eastAsia="en-US"/>
              </w:rPr>
            </w:pPr>
            <w:r>
              <w:rPr>
                <w:lang w:eastAsia="en-US"/>
              </w:rPr>
              <w:t>0</w:t>
            </w:r>
          </w:p>
        </w:tc>
      </w:tr>
      <w:tr w:rsidR="00814074" w14:paraId="1685F170" w14:textId="77777777" w:rsidTr="00556E36">
        <w:trPr>
          <w:cnfStyle w:val="000000010000" w:firstRow="0" w:lastRow="0" w:firstColumn="0" w:lastColumn="0" w:oddVBand="0" w:evenVBand="0" w:oddHBand="0" w:evenHBand="1" w:firstRowFirstColumn="0" w:firstRowLastColumn="0" w:lastRowFirstColumn="0" w:lastRowLastColumn="0"/>
        </w:trPr>
        <w:tc>
          <w:tcPr>
            <w:tcW w:w="2405" w:type="dxa"/>
            <w:tcBorders>
              <w:top w:val="nil"/>
              <w:left w:val="single" w:sz="4" w:space="0" w:color="B2B2B2" w:themeColor="accent2"/>
              <w:bottom w:val="nil"/>
              <w:right w:val="nil"/>
            </w:tcBorders>
            <w:hideMark/>
          </w:tcPr>
          <w:p w14:paraId="1C4FF026" w14:textId="77777777" w:rsidR="00814074" w:rsidRDefault="00814074" w:rsidP="00556E36">
            <w:pPr>
              <w:pStyle w:val="TableTextLeft"/>
              <w:rPr>
                <w:b/>
                <w:lang w:eastAsia="en-US"/>
              </w:rPr>
            </w:pPr>
            <w:r>
              <w:rPr>
                <w:b/>
                <w:lang w:eastAsia="en-US"/>
              </w:rPr>
              <w:t>Coles</w:t>
            </w:r>
            <w:r w:rsidRPr="00031A43">
              <w:rPr>
                <w:rStyle w:val="FootnoteReference"/>
                <w:color w:val="000000" w:themeColor="text1"/>
                <w:sz w:val="22"/>
                <w:vertAlign w:val="superscript"/>
              </w:rPr>
              <w:footnoteReference w:id="37"/>
            </w:r>
          </w:p>
        </w:tc>
        <w:tc>
          <w:tcPr>
            <w:tcW w:w="2218" w:type="dxa"/>
            <w:tcBorders>
              <w:top w:val="nil"/>
              <w:left w:val="nil"/>
              <w:bottom w:val="nil"/>
              <w:right w:val="nil"/>
            </w:tcBorders>
            <w:hideMark/>
          </w:tcPr>
          <w:p w14:paraId="41BC997A" w14:textId="77777777" w:rsidR="00814074" w:rsidRDefault="00814074" w:rsidP="00556E36">
            <w:pPr>
              <w:pStyle w:val="TableTextCentered"/>
              <w:rPr>
                <w:lang w:eastAsia="en-US"/>
              </w:rPr>
            </w:pPr>
            <w:r>
              <w:rPr>
                <w:lang w:eastAsia="en-US"/>
              </w:rPr>
              <w:t>3</w:t>
            </w:r>
          </w:p>
        </w:tc>
        <w:tc>
          <w:tcPr>
            <w:tcW w:w="2218" w:type="dxa"/>
            <w:tcBorders>
              <w:top w:val="nil"/>
              <w:left w:val="nil"/>
              <w:bottom w:val="nil"/>
              <w:right w:val="nil"/>
            </w:tcBorders>
            <w:hideMark/>
          </w:tcPr>
          <w:p w14:paraId="7B58B595" w14:textId="77777777" w:rsidR="00814074" w:rsidRDefault="00814074" w:rsidP="00556E36">
            <w:pPr>
              <w:pStyle w:val="TableTextCentered"/>
              <w:rPr>
                <w:lang w:eastAsia="en-US"/>
              </w:rPr>
            </w:pPr>
            <w:r>
              <w:rPr>
                <w:lang w:eastAsia="en-US"/>
              </w:rPr>
              <w:t>2</w:t>
            </w:r>
          </w:p>
        </w:tc>
        <w:tc>
          <w:tcPr>
            <w:tcW w:w="2219" w:type="dxa"/>
            <w:tcBorders>
              <w:top w:val="nil"/>
              <w:left w:val="nil"/>
              <w:bottom w:val="nil"/>
              <w:right w:val="single" w:sz="4" w:space="0" w:color="B2B2B2" w:themeColor="accent2"/>
            </w:tcBorders>
            <w:hideMark/>
          </w:tcPr>
          <w:p w14:paraId="153B1449" w14:textId="77777777" w:rsidR="00814074" w:rsidRDefault="00814074" w:rsidP="00556E36">
            <w:pPr>
              <w:pStyle w:val="TableTextCentered"/>
              <w:rPr>
                <w:lang w:eastAsia="en-US"/>
              </w:rPr>
            </w:pPr>
            <w:r>
              <w:rPr>
                <w:lang w:eastAsia="en-US"/>
              </w:rPr>
              <w:t>0</w:t>
            </w:r>
          </w:p>
        </w:tc>
      </w:tr>
      <w:tr w:rsidR="00814074" w14:paraId="1E59EE4B" w14:textId="77777777" w:rsidTr="00556E36">
        <w:tc>
          <w:tcPr>
            <w:tcW w:w="2405" w:type="dxa"/>
            <w:tcBorders>
              <w:top w:val="nil"/>
              <w:left w:val="single" w:sz="4" w:space="0" w:color="B2B2B2" w:themeColor="accent2"/>
              <w:bottom w:val="nil"/>
              <w:right w:val="nil"/>
            </w:tcBorders>
            <w:hideMark/>
          </w:tcPr>
          <w:p w14:paraId="2B8C2304" w14:textId="77777777" w:rsidR="00814074" w:rsidRDefault="00814074" w:rsidP="00556E36">
            <w:pPr>
              <w:pStyle w:val="TableTextLeft"/>
              <w:rPr>
                <w:b/>
                <w:lang w:eastAsia="en-US"/>
              </w:rPr>
            </w:pPr>
            <w:r>
              <w:rPr>
                <w:b/>
                <w:lang w:eastAsia="en-US"/>
              </w:rPr>
              <w:t>Metcash</w:t>
            </w:r>
            <w:r w:rsidRPr="00031A43">
              <w:rPr>
                <w:rStyle w:val="FootnoteReference"/>
                <w:color w:val="000000" w:themeColor="text1"/>
                <w:sz w:val="22"/>
                <w:vertAlign w:val="superscript"/>
              </w:rPr>
              <w:footnoteReference w:id="38"/>
            </w:r>
          </w:p>
        </w:tc>
        <w:tc>
          <w:tcPr>
            <w:tcW w:w="2218" w:type="dxa"/>
            <w:tcBorders>
              <w:top w:val="nil"/>
              <w:left w:val="nil"/>
              <w:bottom w:val="nil"/>
              <w:right w:val="nil"/>
            </w:tcBorders>
            <w:hideMark/>
          </w:tcPr>
          <w:p w14:paraId="3A281550" w14:textId="77777777" w:rsidR="00814074" w:rsidRDefault="00814074" w:rsidP="00556E36">
            <w:pPr>
              <w:pStyle w:val="TableTextCentered"/>
              <w:rPr>
                <w:lang w:eastAsia="en-US"/>
              </w:rPr>
            </w:pPr>
            <w:r>
              <w:rPr>
                <w:lang w:eastAsia="en-US"/>
              </w:rPr>
              <w:t>0</w:t>
            </w:r>
          </w:p>
        </w:tc>
        <w:tc>
          <w:tcPr>
            <w:tcW w:w="2218" w:type="dxa"/>
            <w:tcBorders>
              <w:top w:val="nil"/>
              <w:left w:val="nil"/>
              <w:bottom w:val="nil"/>
              <w:right w:val="nil"/>
            </w:tcBorders>
            <w:hideMark/>
          </w:tcPr>
          <w:p w14:paraId="2EC67521" w14:textId="77777777" w:rsidR="00814074" w:rsidRDefault="00814074" w:rsidP="00556E36">
            <w:pPr>
              <w:pStyle w:val="TableTextCentered"/>
              <w:rPr>
                <w:lang w:eastAsia="en-US"/>
              </w:rPr>
            </w:pPr>
            <w:r>
              <w:rPr>
                <w:lang w:eastAsia="en-US"/>
              </w:rPr>
              <w:t>0</w:t>
            </w:r>
          </w:p>
        </w:tc>
        <w:tc>
          <w:tcPr>
            <w:tcW w:w="2219" w:type="dxa"/>
            <w:tcBorders>
              <w:top w:val="nil"/>
              <w:left w:val="nil"/>
              <w:bottom w:val="nil"/>
              <w:right w:val="single" w:sz="4" w:space="0" w:color="B2B2B2" w:themeColor="accent2"/>
            </w:tcBorders>
            <w:hideMark/>
          </w:tcPr>
          <w:p w14:paraId="0E884F61" w14:textId="77777777" w:rsidR="00814074" w:rsidRDefault="00814074" w:rsidP="00556E36">
            <w:pPr>
              <w:pStyle w:val="TableTextCentered"/>
              <w:rPr>
                <w:lang w:eastAsia="en-US"/>
              </w:rPr>
            </w:pPr>
            <w:r>
              <w:rPr>
                <w:lang w:eastAsia="en-US"/>
              </w:rPr>
              <w:t>0</w:t>
            </w:r>
          </w:p>
        </w:tc>
      </w:tr>
      <w:tr w:rsidR="00814074" w14:paraId="650121FB" w14:textId="77777777" w:rsidTr="00556E36">
        <w:trPr>
          <w:cnfStyle w:val="000000010000" w:firstRow="0" w:lastRow="0" w:firstColumn="0" w:lastColumn="0" w:oddVBand="0" w:evenVBand="0" w:oddHBand="0" w:evenHBand="1" w:firstRowFirstColumn="0" w:firstRowLastColumn="0" w:lastRowFirstColumn="0" w:lastRowLastColumn="0"/>
        </w:trPr>
        <w:tc>
          <w:tcPr>
            <w:tcW w:w="2405" w:type="dxa"/>
            <w:tcBorders>
              <w:top w:val="nil"/>
              <w:left w:val="single" w:sz="4" w:space="0" w:color="B2B2B2" w:themeColor="accent2"/>
              <w:bottom w:val="single" w:sz="4" w:space="0" w:color="B2B2B2" w:themeColor="accent2"/>
              <w:right w:val="nil"/>
            </w:tcBorders>
            <w:hideMark/>
          </w:tcPr>
          <w:p w14:paraId="7B17739B" w14:textId="77777777" w:rsidR="00814074" w:rsidRDefault="00814074" w:rsidP="00556E36">
            <w:pPr>
              <w:pStyle w:val="TableTextLeft"/>
              <w:rPr>
                <w:b/>
                <w:lang w:eastAsia="en-US"/>
              </w:rPr>
            </w:pPr>
            <w:r>
              <w:rPr>
                <w:b/>
                <w:lang w:eastAsia="en-US"/>
              </w:rPr>
              <w:t>Aldi</w:t>
            </w:r>
            <w:r w:rsidRPr="00031A43">
              <w:rPr>
                <w:rStyle w:val="FootnoteReference"/>
                <w:color w:val="000000" w:themeColor="text1"/>
                <w:sz w:val="22"/>
                <w:vertAlign w:val="superscript"/>
              </w:rPr>
              <w:footnoteReference w:id="39"/>
            </w:r>
          </w:p>
        </w:tc>
        <w:tc>
          <w:tcPr>
            <w:tcW w:w="2218" w:type="dxa"/>
            <w:tcBorders>
              <w:top w:val="nil"/>
              <w:left w:val="nil"/>
              <w:bottom w:val="single" w:sz="4" w:space="0" w:color="B2B2B2" w:themeColor="accent2"/>
              <w:right w:val="nil"/>
            </w:tcBorders>
            <w:hideMark/>
          </w:tcPr>
          <w:p w14:paraId="4DBB02A2" w14:textId="77777777" w:rsidR="00814074" w:rsidRDefault="00814074" w:rsidP="00556E36">
            <w:pPr>
              <w:pStyle w:val="TableTextCentered"/>
              <w:rPr>
                <w:lang w:eastAsia="en-US"/>
              </w:rPr>
            </w:pPr>
            <w:r>
              <w:rPr>
                <w:lang w:eastAsia="en-US"/>
              </w:rPr>
              <w:t>0</w:t>
            </w:r>
          </w:p>
        </w:tc>
        <w:tc>
          <w:tcPr>
            <w:tcW w:w="2218" w:type="dxa"/>
            <w:tcBorders>
              <w:top w:val="nil"/>
              <w:left w:val="nil"/>
              <w:bottom w:val="single" w:sz="4" w:space="0" w:color="B2B2B2" w:themeColor="accent2"/>
              <w:right w:val="nil"/>
            </w:tcBorders>
            <w:hideMark/>
          </w:tcPr>
          <w:p w14:paraId="1A60EE79" w14:textId="77777777" w:rsidR="00814074" w:rsidRDefault="00814074" w:rsidP="00556E36">
            <w:pPr>
              <w:pStyle w:val="TableTextCentered"/>
              <w:rPr>
                <w:lang w:eastAsia="en-US"/>
              </w:rPr>
            </w:pPr>
            <w:r>
              <w:rPr>
                <w:lang w:eastAsia="en-US"/>
              </w:rPr>
              <w:t>0</w:t>
            </w:r>
          </w:p>
        </w:tc>
        <w:tc>
          <w:tcPr>
            <w:tcW w:w="2219" w:type="dxa"/>
            <w:tcBorders>
              <w:top w:val="nil"/>
              <w:left w:val="nil"/>
              <w:bottom w:val="single" w:sz="4" w:space="0" w:color="B2B2B2" w:themeColor="accent2"/>
              <w:right w:val="single" w:sz="4" w:space="0" w:color="B2B2B2" w:themeColor="accent2"/>
            </w:tcBorders>
            <w:hideMark/>
          </w:tcPr>
          <w:p w14:paraId="13A967D5" w14:textId="77777777" w:rsidR="00814074" w:rsidRDefault="00814074" w:rsidP="00556E36">
            <w:pPr>
              <w:pStyle w:val="TableTextCentered"/>
              <w:rPr>
                <w:lang w:eastAsia="en-US"/>
              </w:rPr>
            </w:pPr>
            <w:r>
              <w:rPr>
                <w:lang w:eastAsia="en-US"/>
              </w:rPr>
              <w:t>0</w:t>
            </w:r>
          </w:p>
        </w:tc>
      </w:tr>
    </w:tbl>
    <w:p w14:paraId="77817E96" w14:textId="77777777" w:rsidR="00814074" w:rsidRDefault="00814074" w:rsidP="00814074">
      <w:pPr>
        <w:pStyle w:val="ChartandTableFootnoteAlpha"/>
        <w:tabs>
          <w:tab w:val="num" w:pos="284"/>
        </w:tabs>
        <w:ind w:left="284" w:hanging="284"/>
      </w:pPr>
      <w:r>
        <w:t>There was one complaint reported in Woolworths’ Code Arbiter’s 2020–21 annual report; however, there was some doubt as to whether this should be counted given the conduct occurred prior to the Code Arbiter’s appointment and commencement.</w:t>
      </w:r>
    </w:p>
    <w:p w14:paraId="3DE2299E" w14:textId="77777777" w:rsidR="00814074" w:rsidRDefault="00814074" w:rsidP="00814074">
      <w:r w:rsidRPr="00037937">
        <w:t>One possible explanation for the small number of complaints brought by grocery suppliers under the Code is that cooperation between supermarkets and their suppliers has been very strong, giving little reason for suppliers to complain. </w:t>
      </w:r>
    </w:p>
    <w:p w14:paraId="6F4F7A83" w14:textId="6F55A953" w:rsidR="00814074" w:rsidRDefault="00814074" w:rsidP="00814074">
      <w:r>
        <w:t xml:space="preserve">However, it seems far more plausible that the </w:t>
      </w:r>
      <w:r w:rsidR="006C6C76">
        <w:t>small</w:t>
      </w:r>
      <w:r>
        <w:t xml:space="preserve"> number of complaints reflects suppliers whose continued existence is reliant on a supermarket stocking their products having a fear of complaining about even the most egregious breaches of the Code.</w:t>
      </w:r>
    </w:p>
    <w:p w14:paraId="571BF092" w14:textId="74CBED50" w:rsidR="00814074" w:rsidRDefault="00814074" w:rsidP="00814074">
      <w:r>
        <w:t>The ACCC</w:t>
      </w:r>
      <w:r w:rsidRPr="00037937">
        <w:t xml:space="preserve"> </w:t>
      </w:r>
      <w:r>
        <w:t>has referred</w:t>
      </w:r>
      <w:r w:rsidRPr="00037937">
        <w:t xml:space="preserve"> to the </w:t>
      </w:r>
      <w:r>
        <w:t>I</w:t>
      </w:r>
      <w:r w:rsidRPr="00037937">
        <w:t xml:space="preserve">ndependent </w:t>
      </w:r>
      <w:r>
        <w:t>Reviewer’s</w:t>
      </w:r>
      <w:r w:rsidRPr="00037937">
        <w:t xml:space="preserve"> 2021-22 survey</w:t>
      </w:r>
      <w:r>
        <w:t xml:space="preserve"> as providing evidence that the number of formal complaints under the Code Arbiter model is an under</w:t>
      </w:r>
      <w:r w:rsidR="006C6C76">
        <w:t>-</w:t>
      </w:r>
      <w:r>
        <w:t>representation of the level of supplier dissatisfaction with their commercial dealings with signatories, noting that:</w:t>
      </w:r>
    </w:p>
    <w:p w14:paraId="65E8E9FA" w14:textId="7C5BFFEC" w:rsidR="00814074" w:rsidRDefault="00814074" w:rsidP="00814074">
      <w:pPr>
        <w:ind w:left="720"/>
      </w:pPr>
      <w:r>
        <w:t>“</w:t>
      </w:r>
      <w:r w:rsidRPr="007F4D00">
        <w:rPr>
          <w:i/>
          <w:iCs/>
        </w:rPr>
        <w:t>… fewer than half the respondent suppliers considered that Woolworths, Coles, and Metcash ‘always’ treated them fairly and respectfully [and] fewer than half considered that Woolworths, Coles, and Metcash ‘always’ took prompt, constructive action to resolve issues that were raised with them</w:t>
      </w:r>
      <w:r>
        <w:t>.”</w:t>
      </w:r>
      <w:r w:rsidR="00F47843">
        <w:t xml:space="preserve"> </w:t>
      </w:r>
      <w:r w:rsidRPr="00F47843">
        <w:rPr>
          <w:rStyle w:val="FootnoteReference"/>
          <w:sz w:val="22"/>
          <w:vertAlign w:val="superscript"/>
        </w:rPr>
        <w:footnoteReference w:id="40"/>
      </w:r>
    </w:p>
    <w:p w14:paraId="33650CF7" w14:textId="77777777" w:rsidR="00814074" w:rsidRDefault="00814074" w:rsidP="00814074">
      <w:r w:rsidRPr="00037937">
        <w:t xml:space="preserve">Of the respondent suppliers who identified an impediment to them raising an issue with the signatory’s buying team, </w:t>
      </w:r>
      <w:r>
        <w:t>more than</w:t>
      </w:r>
      <w:r w:rsidRPr="00037937">
        <w:t xml:space="preserve"> one-third of suppliers to Woolworths and Coles identified fear of damaging a commercial relationship as a key impediment</w:t>
      </w:r>
      <w:r>
        <w:t xml:space="preserve"> to complaining</w:t>
      </w:r>
      <w:r w:rsidRPr="00037937">
        <w:t>.</w:t>
      </w:r>
      <w:r w:rsidRPr="00031A43">
        <w:rPr>
          <w:rStyle w:val="FootnoteReference"/>
          <w:sz w:val="22"/>
          <w:vertAlign w:val="superscript"/>
        </w:rPr>
        <w:footnoteReference w:id="41"/>
      </w:r>
      <w:r w:rsidRPr="00031A43">
        <w:rPr>
          <w:rStyle w:val="FootnoteReference"/>
          <w:sz w:val="22"/>
          <w:vertAlign w:val="superscript"/>
        </w:rPr>
        <w:t> </w:t>
      </w:r>
    </w:p>
    <w:p w14:paraId="46AF1DD9" w14:textId="77777777" w:rsidR="00814074" w:rsidRPr="00037937" w:rsidRDefault="00814074" w:rsidP="00814074">
      <w:r>
        <w:lastRenderedPageBreak/>
        <w:t>The ACCC also noted that it was made aware of indications of supplier concerns with supermarket behaviour during its ACCC’s 2020 Perishable Agricultural Goods Inquiry, with allegations of a range of concerning conduct by supermarkets.</w:t>
      </w:r>
      <w:r w:rsidRPr="00031A43">
        <w:rPr>
          <w:rStyle w:val="FootnoteReference"/>
          <w:sz w:val="22"/>
          <w:vertAlign w:val="superscript"/>
        </w:rPr>
        <w:footnoteReference w:id="42"/>
      </w:r>
    </w:p>
    <w:p w14:paraId="4718D790" w14:textId="77777777" w:rsidR="00814074" w:rsidRPr="00816684" w:rsidRDefault="00814074" w:rsidP="00814074">
      <w:r w:rsidRPr="00037937">
        <w:t>The ACCC’s submission concludes that:  </w:t>
      </w:r>
    </w:p>
    <w:p w14:paraId="1F127EF7" w14:textId="16B86B2D" w:rsidR="00814074" w:rsidRPr="00037937" w:rsidRDefault="00814074" w:rsidP="00814074">
      <w:pPr>
        <w:ind w:left="720"/>
        <w:rPr>
          <w:i/>
          <w:iCs/>
        </w:rPr>
      </w:pPr>
      <w:r w:rsidRPr="00037937">
        <w:rPr>
          <w:i/>
          <w:iCs/>
        </w:rPr>
        <w:t>“The benefits expected to flow from the compulsory binding dispute resolution process have therefore not been realised</w:t>
      </w:r>
      <w:r w:rsidR="00BC05A6">
        <w:rPr>
          <w:i/>
          <w:iCs/>
        </w:rPr>
        <w:t>.</w:t>
      </w:r>
      <w:r w:rsidRPr="00037937">
        <w:rPr>
          <w:i/>
          <w:iCs/>
        </w:rPr>
        <w:t xml:space="preserve">” </w:t>
      </w:r>
      <w:r w:rsidR="006776EB" w:rsidRPr="00031A43">
        <w:rPr>
          <w:rStyle w:val="FootnoteReference"/>
          <w:sz w:val="22"/>
          <w:vertAlign w:val="superscript"/>
        </w:rPr>
        <w:footnoteReference w:id="43"/>
      </w:r>
    </w:p>
    <w:p w14:paraId="239D806E" w14:textId="77777777" w:rsidR="00814074" w:rsidRDefault="00814074" w:rsidP="00814074">
      <w:r w:rsidRPr="00037937">
        <w:t>The current review of the Code has already been told informally that many small and even larger suppliers fear retribution by the major supermarkets if they make a complaint. Such retribution could take the form of delisting a supplier’s products.  </w:t>
      </w:r>
    </w:p>
    <w:p w14:paraId="6C54C65D" w14:textId="77777777" w:rsidR="00814074" w:rsidRPr="00642E3F" w:rsidRDefault="00814074" w:rsidP="00814074">
      <w:r w:rsidRPr="00642E3F">
        <w:t>In the ACCC’s view: </w:t>
      </w:r>
    </w:p>
    <w:p w14:paraId="0B4AC5CA" w14:textId="29CC3A74" w:rsidR="00814074" w:rsidRPr="007940CD" w:rsidRDefault="00814074" w:rsidP="00814074">
      <w:pPr>
        <w:ind w:left="720"/>
        <w:rPr>
          <w:i/>
          <w:iCs/>
        </w:rPr>
      </w:pPr>
      <w:r w:rsidRPr="007940CD">
        <w:rPr>
          <w:i/>
          <w:iCs/>
        </w:rPr>
        <w:t> “The dispute resolution provisions in the code do not achieve their purpose of providing suppliers with an independent and accessible avenue to resolve disputes when they arise, and the weaknesses in the dispute resolution provisions are inextricably linked to the fundamental weaknesses in the code as a voluntary code</w:t>
      </w:r>
      <w:r w:rsidR="006776EB">
        <w:rPr>
          <w:i/>
          <w:iCs/>
        </w:rPr>
        <w:t>.</w:t>
      </w:r>
      <w:r w:rsidRPr="007940CD">
        <w:rPr>
          <w:i/>
          <w:iCs/>
        </w:rPr>
        <w:t>”</w:t>
      </w:r>
      <w:r w:rsidR="006776EB">
        <w:rPr>
          <w:i/>
          <w:iCs/>
        </w:rPr>
        <w:t xml:space="preserve"> </w:t>
      </w:r>
      <w:r w:rsidRPr="006776EB">
        <w:rPr>
          <w:rStyle w:val="FootnoteReference"/>
          <w:sz w:val="22"/>
          <w:vertAlign w:val="superscript"/>
        </w:rPr>
        <w:footnoteReference w:id="44"/>
      </w:r>
      <w:r w:rsidRPr="006776EB">
        <w:rPr>
          <w:rStyle w:val="FootnoteReference"/>
          <w:sz w:val="22"/>
          <w:vertAlign w:val="superscript"/>
        </w:rPr>
        <w:t> </w:t>
      </w:r>
    </w:p>
    <w:p w14:paraId="4E928E5B" w14:textId="77777777" w:rsidR="00814074" w:rsidRPr="00642E3F" w:rsidRDefault="00814074" w:rsidP="00814074">
      <w:r w:rsidRPr="00642E3F">
        <w:t> The ACCC pointed to: </w:t>
      </w:r>
    </w:p>
    <w:p w14:paraId="676C06D5" w14:textId="77777777" w:rsidR="00814074" w:rsidRPr="007940CD" w:rsidRDefault="00814074" w:rsidP="00814074">
      <w:pPr>
        <w:ind w:left="720"/>
        <w:rPr>
          <w:i/>
          <w:iCs/>
        </w:rPr>
      </w:pPr>
      <w:r w:rsidRPr="007940CD">
        <w:rPr>
          <w:i/>
          <w:iCs/>
        </w:rPr>
        <w:t xml:space="preserve"> “… a persistent and significant bargaining power imbalance between grocery retailers/wholesalers and their suppliers”. </w:t>
      </w:r>
      <w:r w:rsidRPr="006776EB">
        <w:rPr>
          <w:rStyle w:val="FootnoteReference"/>
          <w:sz w:val="22"/>
          <w:vertAlign w:val="superscript"/>
        </w:rPr>
        <w:footnoteReference w:id="45"/>
      </w:r>
    </w:p>
    <w:tbl>
      <w:tblPr>
        <w:tblStyle w:val="TableGrid"/>
        <w:tblW w:w="0" w:type="auto"/>
        <w:tblLook w:val="04A0" w:firstRow="1" w:lastRow="0" w:firstColumn="1" w:lastColumn="0" w:noHBand="0" w:noVBand="1"/>
      </w:tblPr>
      <w:tblGrid>
        <w:gridCol w:w="8956"/>
      </w:tblGrid>
      <w:tr w:rsidR="00814074" w14:paraId="12A0D973" w14:textId="77777777" w:rsidTr="00556E36">
        <w:trPr>
          <w:cnfStyle w:val="100000000000" w:firstRow="1" w:lastRow="0" w:firstColumn="0" w:lastColumn="0" w:oddVBand="0" w:evenVBand="0" w:oddHBand="0" w:evenHBand="0" w:firstRowFirstColumn="0" w:firstRowLastColumn="0" w:lastRowFirstColumn="0" w:lastRowLastColumn="0"/>
          <w:trHeight w:val="1276"/>
        </w:trPr>
        <w:tc>
          <w:tcPr>
            <w:tcW w:w="8956" w:type="dxa"/>
          </w:tcPr>
          <w:p w14:paraId="364F080D" w14:textId="77777777" w:rsidR="00814074" w:rsidRPr="00C15D47" w:rsidRDefault="00814074" w:rsidP="00556E36">
            <w:pPr>
              <w:pStyle w:val="BoxHeading"/>
              <w:spacing w:before="96" w:after="96"/>
              <w:rPr>
                <w:b/>
                <w:bCs/>
              </w:rPr>
            </w:pPr>
            <w:r w:rsidRPr="00D16C87">
              <w:rPr>
                <w:b/>
                <w:bCs/>
              </w:rPr>
              <w:t>Consultation Questions</w:t>
            </w:r>
          </w:p>
          <w:p w14:paraId="10F49911" w14:textId="77777777" w:rsidR="00814074" w:rsidRPr="002C116B" w:rsidRDefault="00814074" w:rsidP="00556E36">
            <w:pPr>
              <w:pStyle w:val="Bullet"/>
              <w:tabs>
                <w:tab w:val="left" w:pos="720"/>
              </w:tabs>
              <w:spacing w:beforeLines="40" w:before="96" w:afterLines="40" w:after="96"/>
              <w:ind w:left="520" w:hanging="520"/>
              <w:rPr>
                <w:b w:val="0"/>
                <w:bCs/>
              </w:rPr>
            </w:pPr>
            <w:r w:rsidRPr="00A87BA7">
              <w:rPr>
                <w:b w:val="0"/>
                <w:bCs/>
                <w:sz w:val="22"/>
                <w:szCs w:val="24"/>
              </w:rPr>
              <w:t>Could the voluntary Code be amended to address the fear of retribution by supermarkets and if so, how?</w:t>
            </w:r>
          </w:p>
        </w:tc>
      </w:tr>
    </w:tbl>
    <w:p w14:paraId="3FC2D410" w14:textId="77777777" w:rsidR="00814074" w:rsidRDefault="00814074" w:rsidP="00682B5E"/>
    <w:p w14:paraId="304E4800" w14:textId="77777777" w:rsidR="00814074" w:rsidRDefault="00814074" w:rsidP="00814074">
      <w:pPr>
        <w:spacing w:before="0" w:after="160" w:line="259" w:lineRule="auto"/>
        <w:rPr>
          <w:rFonts w:asciiTheme="majorHAnsi" w:hAnsiTheme="majorHAnsi" w:cs="Arial"/>
          <w:color w:val="5F5F5F" w:themeColor="accent5"/>
          <w:kern w:val="32"/>
          <w:sz w:val="36"/>
          <w:szCs w:val="26"/>
        </w:rPr>
      </w:pPr>
      <w:r>
        <w:br w:type="page"/>
      </w:r>
    </w:p>
    <w:p w14:paraId="462CE7D7" w14:textId="77777777" w:rsidR="00814074" w:rsidRDefault="00814074" w:rsidP="00814074">
      <w:pPr>
        <w:pStyle w:val="Heading3"/>
      </w:pPr>
      <w:bookmarkStart w:id="18" w:name="_Toc157700850"/>
      <w:r>
        <w:lastRenderedPageBreak/>
        <w:t>Compliance penalties</w:t>
      </w:r>
      <w:bookmarkEnd w:id="18"/>
      <w:r>
        <w:t xml:space="preserve"> </w:t>
      </w:r>
    </w:p>
    <w:p w14:paraId="43C6F3A7" w14:textId="77777777" w:rsidR="00814074" w:rsidRDefault="00814074" w:rsidP="00814074">
      <w:r>
        <w:t>A fit-for-purpose code is underpinned by an effective penalty regime that incentivises the right behaviours. The ACCC, as regulator of the Code, can take the following enforcement actions:</w:t>
      </w:r>
    </w:p>
    <w:p w14:paraId="427E319F" w14:textId="77777777" w:rsidR="00814074" w:rsidRDefault="00814074" w:rsidP="00814074">
      <w:pPr>
        <w:pStyle w:val="ListParagraph"/>
        <w:numPr>
          <w:ilvl w:val="0"/>
          <w:numId w:val="16"/>
        </w:numPr>
        <w:spacing w:before="120" w:after="120"/>
      </w:pPr>
      <w:r>
        <w:t>Issue public warning notices about a suspected contravention of the Code;</w:t>
      </w:r>
      <w:r w:rsidRPr="006776EB">
        <w:rPr>
          <w:rStyle w:val="FootnoteReference"/>
          <w:sz w:val="22"/>
          <w:vertAlign w:val="superscript"/>
        </w:rPr>
        <w:footnoteReference w:id="46"/>
      </w:r>
    </w:p>
    <w:p w14:paraId="7E428670" w14:textId="77777777" w:rsidR="00814074" w:rsidRDefault="00814074" w:rsidP="00814074">
      <w:pPr>
        <w:pStyle w:val="ListParagraph"/>
        <w:numPr>
          <w:ilvl w:val="0"/>
          <w:numId w:val="16"/>
        </w:numPr>
        <w:spacing w:before="120" w:after="120"/>
      </w:pPr>
      <w:r>
        <w:t>Seek injunctions to compel or restrict certain conduct by a signatory;</w:t>
      </w:r>
      <w:r w:rsidRPr="006776EB">
        <w:rPr>
          <w:rStyle w:val="FootnoteReference"/>
          <w:sz w:val="22"/>
          <w:vertAlign w:val="superscript"/>
        </w:rPr>
        <w:footnoteReference w:id="47"/>
      </w:r>
      <w:r>
        <w:t xml:space="preserve"> and</w:t>
      </w:r>
    </w:p>
    <w:p w14:paraId="592C632F" w14:textId="77777777" w:rsidR="00814074" w:rsidRDefault="00814074" w:rsidP="00814074">
      <w:pPr>
        <w:pStyle w:val="ListParagraph"/>
        <w:numPr>
          <w:ilvl w:val="0"/>
          <w:numId w:val="16"/>
        </w:numPr>
        <w:spacing w:before="120" w:after="120"/>
      </w:pPr>
      <w:r>
        <w:t>Initiate court proceedings to compel a signatory to redress any loss or damage caused by the signatory’s misconduct.</w:t>
      </w:r>
      <w:r w:rsidRPr="006776EB">
        <w:rPr>
          <w:rStyle w:val="FootnoteReference"/>
          <w:sz w:val="22"/>
          <w:vertAlign w:val="superscript"/>
        </w:rPr>
        <w:footnoteReference w:id="48"/>
      </w:r>
    </w:p>
    <w:p w14:paraId="16E5DC84" w14:textId="77777777" w:rsidR="00814074" w:rsidRDefault="00814074" w:rsidP="00814074">
      <w:r>
        <w:t>While these actions are available, the Code does not provide the ACCC with the power to impose financial penalties for non-compliance. In its submission to the 2023 review of dispute-settling procedures, the ACCC recommended that:</w:t>
      </w:r>
    </w:p>
    <w:p w14:paraId="0B4970A6" w14:textId="4BA0329B" w:rsidR="00814074" w:rsidRPr="00567532" w:rsidRDefault="00814074" w:rsidP="00814074">
      <w:pPr>
        <w:ind w:left="720"/>
        <w:rPr>
          <w:i/>
        </w:rPr>
      </w:pPr>
      <w:r>
        <w:rPr>
          <w:i/>
          <w:iCs/>
        </w:rPr>
        <w:t>“</w:t>
      </w:r>
      <w:r w:rsidRPr="003C1904">
        <w:rPr>
          <w:i/>
          <w:iCs/>
        </w:rPr>
        <w:t>The ACCC’s powers to effectively enforce compliance with the code should be improved through the introduction of civil pecuniary penalties for non-compliance and extending the ACCC’s infringement notice powers to include the code.</w:t>
      </w:r>
      <w:r>
        <w:rPr>
          <w:i/>
          <w:iCs/>
        </w:rPr>
        <w:t>”</w:t>
      </w:r>
      <w:r w:rsidR="006776EB">
        <w:rPr>
          <w:i/>
          <w:iCs/>
        </w:rPr>
        <w:t xml:space="preserve"> </w:t>
      </w:r>
      <w:r w:rsidRPr="006776EB">
        <w:rPr>
          <w:rStyle w:val="FootnoteReference"/>
          <w:sz w:val="22"/>
          <w:vertAlign w:val="superscript"/>
        </w:rPr>
        <w:footnoteReference w:id="49"/>
      </w:r>
    </w:p>
    <w:p w14:paraId="1B7348BA" w14:textId="77777777" w:rsidR="00814074" w:rsidRDefault="00814074" w:rsidP="00814074">
      <w:r>
        <w:t xml:space="preserve">In December 2022, the Independent Grocery Code Reviewer, Mr Chris </w:t>
      </w:r>
      <w:proofErr w:type="spellStart"/>
      <w:r>
        <w:t>Leptos</w:t>
      </w:r>
      <w:proofErr w:type="spellEnd"/>
      <w:r>
        <w:t xml:space="preserve"> AO, wrote to the ACCC following an investigation into a supplier’s complaint against Coles. Mr </w:t>
      </w:r>
      <w:proofErr w:type="spellStart"/>
      <w:r>
        <w:t>Leptos</w:t>
      </w:r>
      <w:proofErr w:type="spellEnd"/>
      <w:r>
        <w:t xml:space="preserve"> concluded that Coles had not complied with the Code and the Code Arbiter’s process was flawed. Mr </w:t>
      </w:r>
      <w:proofErr w:type="spellStart"/>
      <w:r>
        <w:t>Leptos</w:t>
      </w:r>
      <w:proofErr w:type="spellEnd"/>
      <w:r>
        <w:t xml:space="preserve"> referred the complaint to the ACCC for further consideration and provided it with the particulars and further information on the matter. In Mr </w:t>
      </w:r>
      <w:proofErr w:type="spellStart"/>
      <w:r>
        <w:t>Leptos’s</w:t>
      </w:r>
      <w:proofErr w:type="spellEnd"/>
      <w:r>
        <w:t xml:space="preserve"> view, the ACCC had “not progressed the review in any material way”</w:t>
      </w:r>
      <w:r w:rsidRPr="006776EB">
        <w:rPr>
          <w:rStyle w:val="FootnoteReference"/>
          <w:sz w:val="22"/>
          <w:vertAlign w:val="superscript"/>
        </w:rPr>
        <w:footnoteReference w:id="50"/>
      </w:r>
      <w:r w:rsidRPr="006776EB">
        <w:rPr>
          <w:rStyle w:val="FootnoteReference"/>
          <w:sz w:val="22"/>
          <w:vertAlign w:val="superscript"/>
        </w:rPr>
        <w:t xml:space="preserve"> </w:t>
      </w:r>
      <w:r>
        <w:t xml:space="preserve">and reiterated his previous calls to strengthen the Code by requiring the ACCC to </w:t>
      </w:r>
      <w:proofErr w:type="gramStart"/>
      <w:r>
        <w:t>conduct an investigation</w:t>
      </w:r>
      <w:proofErr w:type="gramEnd"/>
      <w:r>
        <w:t xml:space="preserve"> when requested by the Independent Reviewer, and by introducing financial penalties for material non-compliance with the Code. </w:t>
      </w:r>
    </w:p>
    <w:p w14:paraId="30B9D8CB" w14:textId="77777777" w:rsidR="00814074" w:rsidRPr="00812FBF" w:rsidRDefault="00814074" w:rsidP="00814074">
      <w:r w:rsidRPr="00812FBF">
        <w:t xml:space="preserve">Professor Sims has described the </w:t>
      </w:r>
      <w:r>
        <w:t xml:space="preserve">absence of financial penalties for breaches of the </w:t>
      </w:r>
      <w:r w:rsidRPr="00812FBF">
        <w:t xml:space="preserve">Code as </w:t>
      </w:r>
      <w:r>
        <w:t xml:space="preserve">a </w:t>
      </w:r>
      <w:r w:rsidRPr="00812FBF">
        <w:t>deep deficien</w:t>
      </w:r>
      <w:r>
        <w:t>cy</w:t>
      </w:r>
      <w:r w:rsidRPr="00812FBF">
        <w:t>, adding:  </w:t>
      </w:r>
    </w:p>
    <w:p w14:paraId="64BEB9B0" w14:textId="24747344" w:rsidR="00814074" w:rsidRDefault="00814074" w:rsidP="00814074">
      <w:pPr>
        <w:ind w:left="720"/>
      </w:pPr>
      <w:r w:rsidRPr="00357935">
        <w:rPr>
          <w:i/>
        </w:rPr>
        <w:t xml:space="preserve">“If you breach the </w:t>
      </w:r>
      <w:proofErr w:type="gramStart"/>
      <w:r w:rsidRPr="00357935">
        <w:rPr>
          <w:i/>
        </w:rPr>
        <w:t>code</w:t>
      </w:r>
      <w:proofErr w:type="gramEnd"/>
      <w:r w:rsidRPr="00357935">
        <w:rPr>
          <w:i/>
        </w:rPr>
        <w:t xml:space="preserve"> there are no penalties. Just think about that. The speed limit is 100</w:t>
      </w:r>
      <w:r w:rsidR="00227797">
        <w:rPr>
          <w:i/>
        </w:rPr>
        <w:t> </w:t>
      </w:r>
      <w:r w:rsidRPr="00357935">
        <w:rPr>
          <w:i/>
        </w:rPr>
        <w:t>km/h. If you exceed it, it doesn’t matter? It just brings contempt for laws if there are no penalties. Secondly, the only way you can effectively complain is if it is dealt with by supermarkets. They’ll know who you are. Nobody would do it. The third problem is, it’s voluntary.”</w:t>
      </w:r>
      <w:r w:rsidRPr="00812FBF">
        <w:t> </w:t>
      </w:r>
      <w:r w:rsidRPr="006776EB">
        <w:rPr>
          <w:rStyle w:val="FootnoteReference"/>
          <w:sz w:val="22"/>
          <w:vertAlign w:val="superscript"/>
        </w:rPr>
        <w:footnoteReference w:id="51"/>
      </w:r>
    </w:p>
    <w:p w14:paraId="03E67BE5" w14:textId="77777777" w:rsidR="00814074" w:rsidRDefault="00814074" w:rsidP="00814074">
      <w:pPr>
        <w:pStyle w:val="Heading4"/>
      </w:pPr>
      <w:r>
        <w:lastRenderedPageBreak/>
        <w:t>What would be an appropriate financial penalty?</w:t>
      </w:r>
    </w:p>
    <w:p w14:paraId="3C2BA355" w14:textId="77777777" w:rsidR="00814074" w:rsidRDefault="00814074" w:rsidP="00814074">
      <w:r>
        <w:t>I</w:t>
      </w:r>
      <w:r w:rsidRPr="002A1FA2">
        <w:t xml:space="preserve">f </w:t>
      </w:r>
      <w:r>
        <w:t>breaches of the</w:t>
      </w:r>
      <w:r w:rsidRPr="002A1FA2">
        <w:t xml:space="preserve"> Code </w:t>
      </w:r>
      <w:r>
        <w:t>were subject to financial penalties, the next question would be what level of penalties would be appropriate.</w:t>
      </w:r>
    </w:p>
    <w:p w14:paraId="7125D4FC" w14:textId="2A9B45D8" w:rsidR="00814074" w:rsidRDefault="00814074" w:rsidP="00814074">
      <w:r>
        <w:t>Unde</w:t>
      </w:r>
      <w:r w:rsidRPr="00A03F02">
        <w:t xml:space="preserve">r the </w:t>
      </w:r>
      <w:r w:rsidRPr="006C73A7">
        <w:rPr>
          <w:i/>
          <w:iCs/>
        </w:rPr>
        <w:t>Competition and Consumer Act 2010</w:t>
      </w:r>
      <w:r w:rsidRPr="00A03F02">
        <w:t xml:space="preserve">, penalties under industry codes are generally limited to </w:t>
      </w:r>
      <w:r w:rsidR="00C32A11">
        <w:t xml:space="preserve">600 penalty units (currently a maximum of </w:t>
      </w:r>
      <w:r w:rsidRPr="00A03F02">
        <w:t>$187,</w:t>
      </w:r>
      <w:r w:rsidR="009F3756">
        <w:t>8</w:t>
      </w:r>
      <w:r w:rsidRPr="00A03F02">
        <w:t>00</w:t>
      </w:r>
      <w:r w:rsidR="00C32A11">
        <w:t>)</w:t>
      </w:r>
      <w:r>
        <w:t xml:space="preserve"> per offence.</w:t>
      </w:r>
      <w:r w:rsidRPr="006776EB">
        <w:rPr>
          <w:rStyle w:val="FootnoteReference"/>
          <w:sz w:val="22"/>
          <w:vertAlign w:val="superscript"/>
        </w:rPr>
        <w:footnoteReference w:id="52"/>
      </w:r>
      <w:r>
        <w:t xml:space="preserve"> Given the size of major supermarkets, it is likely that the threat of substantially higher financial penalties would be needed to act as an effective deterrent to breaches of the Code.</w:t>
      </w:r>
    </w:p>
    <w:tbl>
      <w:tblPr>
        <w:tblStyle w:val="TableGrid"/>
        <w:tblW w:w="0" w:type="auto"/>
        <w:tblLook w:val="04A0" w:firstRow="1" w:lastRow="0" w:firstColumn="1" w:lastColumn="0" w:noHBand="0" w:noVBand="1"/>
      </w:tblPr>
      <w:tblGrid>
        <w:gridCol w:w="9069"/>
      </w:tblGrid>
      <w:tr w:rsidR="00814074" w14:paraId="7A2E4EBF" w14:textId="77777777" w:rsidTr="00556E36">
        <w:trPr>
          <w:cnfStyle w:val="100000000000" w:firstRow="1" w:lastRow="0" w:firstColumn="0" w:lastColumn="0" w:oddVBand="0" w:evenVBand="0" w:oddHBand="0" w:evenHBand="0" w:firstRowFirstColumn="0" w:firstRowLastColumn="0" w:lastRowFirstColumn="0" w:lastRowLastColumn="0"/>
          <w:trHeight w:val="1209"/>
        </w:trPr>
        <w:tc>
          <w:tcPr>
            <w:tcW w:w="9069" w:type="dxa"/>
          </w:tcPr>
          <w:p w14:paraId="5368B0F8" w14:textId="77777777" w:rsidR="00814074" w:rsidRPr="00613BC1" w:rsidRDefault="00814074" w:rsidP="00556E36">
            <w:pPr>
              <w:pStyle w:val="BoxHeading"/>
              <w:spacing w:before="96" w:after="96"/>
              <w:rPr>
                <w:b/>
                <w:bCs/>
              </w:rPr>
            </w:pPr>
            <w:r>
              <w:rPr>
                <w:b/>
                <w:bCs/>
              </w:rPr>
              <w:t>Consultation Q</w:t>
            </w:r>
            <w:r w:rsidRPr="00613BC1">
              <w:rPr>
                <w:b/>
                <w:bCs/>
              </w:rPr>
              <w:t>uestion</w:t>
            </w:r>
            <w:r>
              <w:rPr>
                <w:b/>
                <w:bCs/>
              </w:rPr>
              <w:t>s</w:t>
            </w:r>
          </w:p>
          <w:p w14:paraId="725A09CF" w14:textId="77777777" w:rsidR="00814074" w:rsidRPr="004D25A0" w:rsidRDefault="00814074" w:rsidP="00556E36">
            <w:pPr>
              <w:pStyle w:val="Bullet"/>
              <w:tabs>
                <w:tab w:val="left" w:pos="720"/>
              </w:tabs>
              <w:spacing w:beforeLines="40" w:before="96" w:afterLines="40" w:after="96"/>
              <w:ind w:left="520" w:hanging="520"/>
              <w:rPr>
                <w:b w:val="0"/>
                <w:bCs/>
                <w:sz w:val="22"/>
                <w:szCs w:val="22"/>
              </w:rPr>
            </w:pPr>
            <w:r>
              <w:rPr>
                <w:b w:val="0"/>
                <w:bCs/>
                <w:sz w:val="22"/>
                <w:szCs w:val="22"/>
              </w:rPr>
              <w:t>Is there evidence of suspected breaches of Code that are not being enforced due to a lack of civil penalty provisions?</w:t>
            </w:r>
          </w:p>
          <w:p w14:paraId="444504F3" w14:textId="2BC5D5C1" w:rsidR="00B4410E" w:rsidRPr="001F3B41" w:rsidRDefault="00B4410E" w:rsidP="00556E36">
            <w:pPr>
              <w:pStyle w:val="Bullet"/>
              <w:tabs>
                <w:tab w:val="left" w:pos="720"/>
              </w:tabs>
              <w:spacing w:beforeLines="40" w:before="96" w:afterLines="40" w:after="96"/>
              <w:ind w:left="520" w:hanging="520"/>
              <w:rPr>
                <w:b w:val="0"/>
                <w:bCs/>
                <w:sz w:val="22"/>
                <w:szCs w:val="22"/>
              </w:rPr>
            </w:pPr>
            <w:r>
              <w:rPr>
                <w:b w:val="0"/>
                <w:bCs/>
                <w:sz w:val="22"/>
                <w:szCs w:val="22"/>
              </w:rPr>
              <w:t>Should civil penalties be available for breaches of the Code?</w:t>
            </w:r>
          </w:p>
          <w:p w14:paraId="033743BD" w14:textId="77777777" w:rsidR="00814074" w:rsidRPr="002218E7" w:rsidRDefault="00814074" w:rsidP="00556E36">
            <w:pPr>
              <w:pStyle w:val="Bullet"/>
              <w:tabs>
                <w:tab w:val="left" w:pos="720"/>
              </w:tabs>
              <w:spacing w:beforeLines="40" w:before="96" w:afterLines="40" w:after="96"/>
              <w:ind w:left="520" w:hanging="520"/>
              <w:rPr>
                <w:b w:val="0"/>
                <w:bCs/>
                <w:sz w:val="22"/>
                <w:szCs w:val="22"/>
              </w:rPr>
            </w:pPr>
            <w:r>
              <w:rPr>
                <w:b w:val="0"/>
                <w:bCs/>
                <w:sz w:val="22"/>
                <w:szCs w:val="22"/>
              </w:rPr>
              <w:t xml:space="preserve">If civil penalties are to be applied to the Code, what penalties </w:t>
            </w:r>
            <w:r w:rsidRPr="7F796CE4">
              <w:rPr>
                <w:b w:val="0"/>
                <w:sz w:val="22"/>
                <w:szCs w:val="22"/>
              </w:rPr>
              <w:t xml:space="preserve">are </w:t>
            </w:r>
            <w:r w:rsidRPr="427A5CB4">
              <w:rPr>
                <w:b w:val="0"/>
                <w:sz w:val="22"/>
                <w:szCs w:val="22"/>
              </w:rPr>
              <w:t>appropriate</w:t>
            </w:r>
            <w:r>
              <w:rPr>
                <w:b w:val="0"/>
                <w:bCs/>
                <w:sz w:val="22"/>
                <w:szCs w:val="22"/>
              </w:rPr>
              <w:t xml:space="preserve">? </w:t>
            </w:r>
          </w:p>
        </w:tc>
      </w:tr>
    </w:tbl>
    <w:p w14:paraId="5D8FF238" w14:textId="77777777" w:rsidR="00814074" w:rsidRDefault="00814074" w:rsidP="00814074">
      <w:pPr>
        <w:spacing w:before="0" w:after="160" w:line="259" w:lineRule="auto"/>
        <w:rPr>
          <w:rFonts w:asciiTheme="majorHAnsi" w:hAnsiTheme="majorHAnsi" w:cs="Arial"/>
          <w:b/>
          <w:kern w:val="32"/>
          <w:sz w:val="56"/>
          <w:szCs w:val="36"/>
        </w:rPr>
      </w:pPr>
      <w:r>
        <w:br w:type="page"/>
      </w:r>
    </w:p>
    <w:p w14:paraId="764C306C" w14:textId="77777777" w:rsidR="00814074" w:rsidRDefault="00814074" w:rsidP="00814074">
      <w:pPr>
        <w:pStyle w:val="Heading1"/>
      </w:pPr>
      <w:bookmarkStart w:id="19" w:name="_Toc157700851"/>
      <w:r>
        <w:lastRenderedPageBreak/>
        <w:t>Complementary cost of living and grocery measures</w:t>
      </w:r>
      <w:bookmarkEnd w:id="19"/>
      <w:r>
        <w:t xml:space="preserve"> </w:t>
      </w:r>
    </w:p>
    <w:p w14:paraId="63EA9685" w14:textId="77777777" w:rsidR="00814074" w:rsidRPr="00642E3F" w:rsidRDefault="00814074" w:rsidP="00814074">
      <w:r w:rsidRPr="00642E3F">
        <w:t>On its own, reform of the Food and Grocery Code cannot solve all problems afflicting the industry that adversely affect grocery suppliers and consumers. A wider suite of competition reforms will be needed for this task.  </w:t>
      </w:r>
    </w:p>
    <w:p w14:paraId="399D4CC0" w14:textId="3595059A" w:rsidR="00814074" w:rsidRDefault="00814074" w:rsidP="00814074">
      <w:r w:rsidRPr="00642E3F">
        <w:t xml:space="preserve">It might be considered that </w:t>
      </w:r>
      <w:r>
        <w:t>i</w:t>
      </w:r>
      <w:r w:rsidRPr="00642E3F">
        <w:t>mproved prices and conditions for grocery suppliers to supermarkets would inevitably lead to higher prices for consumers. However, if greater competition were introduced into the grocery retailing industry</w:t>
      </w:r>
      <w:r w:rsidR="004E7E50">
        <w:t>,</w:t>
      </w:r>
      <w:r w:rsidRPr="00642E3F">
        <w:t xml:space="preserve"> both suppliers and consumers would stand to obtain better prices.</w:t>
      </w:r>
    </w:p>
    <w:p w14:paraId="629632D2" w14:textId="77777777" w:rsidR="00814074" w:rsidRDefault="00814074" w:rsidP="00814074">
      <w:r w:rsidRPr="00642E3F">
        <w:t>Greater competition in the supermarket industry is the key to a better deal for both grocery suppliers and shoppers.</w:t>
      </w:r>
      <w:r>
        <w:t xml:space="preserve"> The following describes </w:t>
      </w:r>
      <w:proofErr w:type="gramStart"/>
      <w:r>
        <w:t>a number of</w:t>
      </w:r>
      <w:proofErr w:type="gramEnd"/>
      <w:r>
        <w:t xml:space="preserve"> measures that the Government has initiated to complement this Review.</w:t>
      </w:r>
    </w:p>
    <w:p w14:paraId="372890A9" w14:textId="77777777" w:rsidR="00814074" w:rsidRDefault="00814074" w:rsidP="00814074">
      <w:pPr>
        <w:pStyle w:val="Heading3"/>
      </w:pPr>
      <w:bookmarkStart w:id="20" w:name="_Toc157700852"/>
      <w:r>
        <w:t>ACCC price inquiry</w:t>
      </w:r>
      <w:bookmarkEnd w:id="20"/>
      <w:r>
        <w:t xml:space="preserve"> </w:t>
      </w:r>
    </w:p>
    <w:p w14:paraId="2A426C3A" w14:textId="39850327" w:rsidR="00814074" w:rsidRDefault="1FD19687" w:rsidP="00814074">
      <w:r>
        <w:t xml:space="preserve">On </w:t>
      </w:r>
      <w:r w:rsidR="7D236D13">
        <w:t>1 February</w:t>
      </w:r>
      <w:r>
        <w:t xml:space="preserve"> 2024, the </w:t>
      </w:r>
      <w:r w:rsidR="5143FB20">
        <w:t>Treasurer directed</w:t>
      </w:r>
      <w:r>
        <w:t xml:space="preserve"> the ACCC to undertake a 12-month price inquiry into the supermarket sector to ensure Australians are paying a fair price for their everyday groceries. </w:t>
      </w:r>
    </w:p>
    <w:p w14:paraId="513EB5D3" w14:textId="06196FB8" w:rsidR="00814074" w:rsidRDefault="1FD19687" w:rsidP="00814074">
      <w:r>
        <w:t>The inquiry will examine the competitiveness of retail prices for everyday groceries. Matters to be considered by the inquiry</w:t>
      </w:r>
      <w:r w:rsidR="2B43C922">
        <w:t xml:space="preserve"> include</w:t>
      </w:r>
      <w:r w:rsidR="0D90F41F">
        <w:t>,</w:t>
      </w:r>
      <w:r>
        <w:t xml:space="preserve"> but are not limited to:</w:t>
      </w:r>
    </w:p>
    <w:p w14:paraId="6DD247CD" w14:textId="77777777" w:rsidR="00814074" w:rsidRDefault="00814074" w:rsidP="00814074">
      <w:pPr>
        <w:pStyle w:val="ListParagraph"/>
        <w:numPr>
          <w:ilvl w:val="0"/>
          <w:numId w:val="25"/>
        </w:numPr>
        <w:spacing w:before="120" w:after="120"/>
      </w:pPr>
      <w:r>
        <w:t xml:space="preserve">The current structure of the supermarket industry at the supply, wholesale and retail </w:t>
      </w:r>
      <w:proofErr w:type="gramStart"/>
      <w:r>
        <w:t>levels;</w:t>
      </w:r>
      <w:proofErr w:type="gramEnd"/>
    </w:p>
    <w:p w14:paraId="65E0B7FE" w14:textId="77777777" w:rsidR="00814074" w:rsidRDefault="00814074" w:rsidP="00814074">
      <w:pPr>
        <w:pStyle w:val="ListParagraph"/>
        <w:numPr>
          <w:ilvl w:val="0"/>
          <w:numId w:val="25"/>
        </w:numPr>
        <w:spacing w:before="120" w:after="120"/>
      </w:pPr>
      <w:r>
        <w:t xml:space="preserve">Competition in the industry and how it has changed since 2008, including the growth of online </w:t>
      </w:r>
      <w:proofErr w:type="gramStart"/>
      <w:r>
        <w:t>shopping;</w:t>
      </w:r>
      <w:proofErr w:type="gramEnd"/>
    </w:p>
    <w:p w14:paraId="7D1E09EE" w14:textId="6F8D9194" w:rsidR="00814074" w:rsidRDefault="00814074" w:rsidP="00814074">
      <w:pPr>
        <w:pStyle w:val="ListParagraph"/>
        <w:numPr>
          <w:ilvl w:val="0"/>
          <w:numId w:val="25"/>
        </w:numPr>
        <w:spacing w:before="120" w:after="120"/>
      </w:pPr>
      <w:r>
        <w:t>The competitiveness of small and independent retailers, including</w:t>
      </w:r>
      <w:r w:rsidR="00BB314A">
        <w:t xml:space="preserve"> in</w:t>
      </w:r>
      <w:r>
        <w:t xml:space="preserve"> regional and remote </w:t>
      </w:r>
      <w:proofErr w:type="gramStart"/>
      <w:r>
        <w:t>areas</w:t>
      </w:r>
      <w:r w:rsidR="00BB314A">
        <w:t>;</w:t>
      </w:r>
      <w:proofErr w:type="gramEnd"/>
    </w:p>
    <w:p w14:paraId="55A61A5D" w14:textId="77777777" w:rsidR="00814074" w:rsidRDefault="1FD19687" w:rsidP="00814074">
      <w:pPr>
        <w:pStyle w:val="ListParagraph"/>
        <w:numPr>
          <w:ilvl w:val="0"/>
          <w:numId w:val="25"/>
        </w:numPr>
        <w:spacing w:before="120" w:after="120"/>
      </w:pPr>
      <w:r>
        <w:t xml:space="preserve">The pricing practices of </w:t>
      </w:r>
      <w:proofErr w:type="gramStart"/>
      <w:r>
        <w:t>supermarkets;</w:t>
      </w:r>
      <w:proofErr w:type="gramEnd"/>
    </w:p>
    <w:p w14:paraId="22C45C49" w14:textId="315F71E6" w:rsidR="0432505D" w:rsidRDefault="0432505D" w:rsidP="3F842EF5">
      <w:pPr>
        <w:pStyle w:val="ListParagraph"/>
        <w:numPr>
          <w:ilvl w:val="0"/>
          <w:numId w:val="25"/>
        </w:numPr>
        <w:spacing w:before="120" w:after="120"/>
        <w:rPr>
          <w:color w:val="000000" w:themeColor="text2"/>
        </w:rPr>
      </w:pPr>
      <w:r w:rsidRPr="3F842EF5">
        <w:rPr>
          <w:color w:val="000000" w:themeColor="text2"/>
        </w:rPr>
        <w:t xml:space="preserve">Factors influencing prices along the supply chain, including the difference between farmgate and supermarket </w:t>
      </w:r>
      <w:proofErr w:type="gramStart"/>
      <w:r w:rsidRPr="3F842EF5">
        <w:rPr>
          <w:color w:val="000000" w:themeColor="text2"/>
        </w:rPr>
        <w:t>prices;</w:t>
      </w:r>
      <w:proofErr w:type="gramEnd"/>
    </w:p>
    <w:p w14:paraId="1F89F636" w14:textId="27B2B4C0" w:rsidR="0432505D" w:rsidRDefault="0432505D" w:rsidP="3F842EF5">
      <w:pPr>
        <w:pStyle w:val="ListParagraph"/>
        <w:numPr>
          <w:ilvl w:val="0"/>
          <w:numId w:val="25"/>
        </w:numPr>
        <w:rPr>
          <w:color w:val="000000" w:themeColor="text2"/>
        </w:rPr>
      </w:pPr>
      <w:r>
        <w:t>Any impediments to competitive pricing along the supply chain; and</w:t>
      </w:r>
    </w:p>
    <w:p w14:paraId="769AA022" w14:textId="376E50ED" w:rsidR="0432505D" w:rsidRDefault="0432505D" w:rsidP="3F842EF5">
      <w:pPr>
        <w:pStyle w:val="ListParagraph"/>
        <w:numPr>
          <w:ilvl w:val="0"/>
          <w:numId w:val="25"/>
        </w:numPr>
        <w:rPr>
          <w:color w:val="000000" w:themeColor="text2"/>
        </w:rPr>
      </w:pPr>
      <w:r>
        <w:t>Other factors impacting competition, including loyalty programs and third-party discounts.</w:t>
      </w:r>
    </w:p>
    <w:p w14:paraId="696E54CA" w14:textId="5A5720EB" w:rsidR="00814074" w:rsidRDefault="00814074" w:rsidP="00814074">
      <w:r>
        <w:t xml:space="preserve">The ACCC will produce an interim report and a final report which will provide the Government with key findings and potential recommendations to address concerns regarding competition within the supermarket </w:t>
      </w:r>
      <w:r w:rsidR="00BB314A">
        <w:t>industry</w:t>
      </w:r>
      <w:r>
        <w:t xml:space="preserve"> and allegations of price gouging of food, grocery and agricultural goods offered by supermarkets. </w:t>
      </w:r>
    </w:p>
    <w:p w14:paraId="48B7BFB2" w14:textId="3258CC68" w:rsidR="00814074" w:rsidRDefault="00814074" w:rsidP="00814074">
      <w:pPr>
        <w:pStyle w:val="Heading3"/>
      </w:pPr>
      <w:bookmarkStart w:id="21" w:name="_Toc157700853"/>
      <w:r>
        <w:t xml:space="preserve">CHOICE </w:t>
      </w:r>
      <w:r w:rsidR="00C56976">
        <w:t>p</w:t>
      </w:r>
      <w:r>
        <w:t xml:space="preserve">rice </w:t>
      </w:r>
      <w:r w:rsidR="00C56976">
        <w:t>m</w:t>
      </w:r>
      <w:r>
        <w:t>onitoring</w:t>
      </w:r>
      <w:bookmarkEnd w:id="21"/>
      <w:r>
        <w:t xml:space="preserve"> </w:t>
      </w:r>
    </w:p>
    <w:p w14:paraId="4C41E23C" w14:textId="77777777" w:rsidR="00814074" w:rsidRDefault="00814074" w:rsidP="00814074">
      <w:r>
        <w:t xml:space="preserve">The Government is providing $1.1 million to consumer group CHOICE to provide price transparency and comparison reports on a quarterly basis for three years. This will start from the second quarter of 2024 and provide shoppers with increased transparency on the comparative costs of a basket of goods at different retailers, highlighting those charging the most and the least. </w:t>
      </w:r>
    </w:p>
    <w:p w14:paraId="1690F815" w14:textId="77777777" w:rsidR="00814074" w:rsidRDefault="00814074" w:rsidP="00814074">
      <w:pPr>
        <w:pStyle w:val="Heading3"/>
      </w:pPr>
      <w:bookmarkStart w:id="22" w:name="_Toc157700854"/>
      <w:r>
        <w:lastRenderedPageBreak/>
        <w:t>Senate Select Committee on Cost of Living</w:t>
      </w:r>
      <w:bookmarkEnd w:id="22"/>
      <w:r>
        <w:t xml:space="preserve"> </w:t>
      </w:r>
    </w:p>
    <w:p w14:paraId="528A00C4" w14:textId="77777777" w:rsidR="00814074" w:rsidRDefault="00814074" w:rsidP="00814074">
      <w:r>
        <w:t>On 28 September 2022, the Senate established the Select Committee on the Cost of Living, to inquire into and report on:</w:t>
      </w:r>
    </w:p>
    <w:p w14:paraId="134C2F74" w14:textId="77777777" w:rsidR="00814074" w:rsidRDefault="00814074" w:rsidP="00814074">
      <w:pPr>
        <w:pStyle w:val="OutlineNumbered3"/>
        <w:numPr>
          <w:ilvl w:val="0"/>
          <w:numId w:val="18"/>
        </w:numPr>
        <w:spacing w:after="120"/>
      </w:pPr>
      <w:r>
        <w:t xml:space="preserve">the </w:t>
      </w:r>
      <w:proofErr w:type="gramStart"/>
      <w:r>
        <w:t>cost of living</w:t>
      </w:r>
      <w:proofErr w:type="gramEnd"/>
      <w:r>
        <w:t xml:space="preserve"> pressures facing Australians;</w:t>
      </w:r>
    </w:p>
    <w:p w14:paraId="6CC53D38" w14:textId="77777777" w:rsidR="00814074" w:rsidRDefault="00814074" w:rsidP="00814074">
      <w:pPr>
        <w:pStyle w:val="OutlineNumbered3"/>
        <w:numPr>
          <w:ilvl w:val="0"/>
          <w:numId w:val="18"/>
        </w:numPr>
        <w:spacing w:after="120"/>
      </w:pPr>
      <w:r>
        <w:t xml:space="preserve">the Government's fiscal policy response to the cost of </w:t>
      </w:r>
      <w:proofErr w:type="gramStart"/>
      <w:r>
        <w:t>living;</w:t>
      </w:r>
      <w:proofErr w:type="gramEnd"/>
    </w:p>
    <w:p w14:paraId="65CA8381" w14:textId="77777777" w:rsidR="00814074" w:rsidRDefault="00814074" w:rsidP="00814074">
      <w:pPr>
        <w:pStyle w:val="OutlineNumbered3"/>
        <w:numPr>
          <w:ilvl w:val="0"/>
          <w:numId w:val="18"/>
        </w:numPr>
        <w:spacing w:after="120"/>
      </w:pPr>
      <w:r>
        <w:t xml:space="preserve">ways to ease cost of living pressures through the tax and transfer </w:t>
      </w:r>
      <w:proofErr w:type="gramStart"/>
      <w:r>
        <w:t>system;</w:t>
      </w:r>
      <w:proofErr w:type="gramEnd"/>
    </w:p>
    <w:p w14:paraId="2523D6F0" w14:textId="4066C6DF" w:rsidR="00814074" w:rsidRDefault="00814074" w:rsidP="00814074">
      <w:pPr>
        <w:pStyle w:val="OutlineNumbered3"/>
        <w:numPr>
          <w:ilvl w:val="0"/>
          <w:numId w:val="18"/>
        </w:numPr>
        <w:spacing w:after="120"/>
      </w:pPr>
      <w:r>
        <w:t xml:space="preserve">measures to ease the cost of living through the provision of </w:t>
      </w:r>
      <w:r w:rsidR="00E64827">
        <w:t>g</w:t>
      </w:r>
      <w:r>
        <w:t>overnment services; and</w:t>
      </w:r>
    </w:p>
    <w:p w14:paraId="6AF97E51" w14:textId="77777777" w:rsidR="00814074" w:rsidRDefault="00814074" w:rsidP="00814074">
      <w:pPr>
        <w:pStyle w:val="OutlineNumbered3"/>
        <w:numPr>
          <w:ilvl w:val="0"/>
          <w:numId w:val="18"/>
        </w:numPr>
        <w:spacing w:after="120"/>
      </w:pPr>
      <w:r>
        <w:t>any other related matters.</w:t>
      </w:r>
    </w:p>
    <w:p w14:paraId="006FCE0F" w14:textId="77777777" w:rsidR="00814074" w:rsidRDefault="00814074" w:rsidP="00814074">
      <w:r>
        <w:t>The Committee is due to report by 31 May 2024.</w:t>
      </w:r>
    </w:p>
    <w:p w14:paraId="5C40C6D3" w14:textId="77777777" w:rsidR="00814074" w:rsidRDefault="00814074" w:rsidP="00814074">
      <w:pPr>
        <w:pStyle w:val="Heading3"/>
      </w:pPr>
      <w:bookmarkStart w:id="23" w:name="_Toc157700855"/>
      <w:r>
        <w:t>Senate Select Committee on Supermarket Prices</w:t>
      </w:r>
      <w:bookmarkEnd w:id="23"/>
    </w:p>
    <w:p w14:paraId="3C188164" w14:textId="77777777" w:rsidR="00814074" w:rsidRDefault="00814074" w:rsidP="00814074">
      <w:r w:rsidRPr="00ED4F1E">
        <w:t xml:space="preserve">On 6 December 2023, the Senate resolved that </w:t>
      </w:r>
      <w:r>
        <w:t>a</w:t>
      </w:r>
      <w:r w:rsidRPr="00ED4F1E">
        <w:t xml:space="preserve"> Select Committee on Supermarket Prices be established to inquire into and report on the price setting practices and market power of major supermarkets.</w:t>
      </w:r>
      <w:r w:rsidRPr="00C24CAF">
        <w:t xml:space="preserve"> </w:t>
      </w:r>
      <w:r>
        <w:t xml:space="preserve">The Committee was appointed to inquire into and report on the price setting practices and market power of major supermarkets, with </w:t>
      </w:r>
      <w:proofErr w:type="gramStart"/>
      <w:r>
        <w:t>particular reference</w:t>
      </w:r>
      <w:proofErr w:type="gramEnd"/>
      <w:r>
        <w:t xml:space="preserve"> to:</w:t>
      </w:r>
    </w:p>
    <w:p w14:paraId="1328BE7C" w14:textId="77777777" w:rsidR="00814074" w:rsidRDefault="1FD19687" w:rsidP="005D2A0F">
      <w:pPr>
        <w:pStyle w:val="Dash"/>
        <w:spacing w:before="0" w:after="240"/>
      </w:pPr>
      <w:r>
        <w:t xml:space="preserve">the effect of market concentration and the exercise of corporate power on the price of food and </w:t>
      </w:r>
      <w:proofErr w:type="gramStart"/>
      <w:r>
        <w:t>groceries;</w:t>
      </w:r>
      <w:proofErr w:type="gramEnd"/>
    </w:p>
    <w:p w14:paraId="1D2056C4" w14:textId="77777777" w:rsidR="00814074" w:rsidRDefault="1FD19687" w:rsidP="005D2A0F">
      <w:pPr>
        <w:pStyle w:val="Dash"/>
        <w:spacing w:before="0" w:after="240"/>
      </w:pPr>
      <w:r>
        <w:t xml:space="preserve">the pattern of price setting between the two major supermarket </w:t>
      </w:r>
      <w:proofErr w:type="gramStart"/>
      <w:r>
        <w:t>chains;</w:t>
      </w:r>
      <w:proofErr w:type="gramEnd"/>
    </w:p>
    <w:p w14:paraId="7CAD6E1F" w14:textId="77777777" w:rsidR="00814074" w:rsidRDefault="1FD19687" w:rsidP="005D2A0F">
      <w:pPr>
        <w:pStyle w:val="Dash"/>
        <w:spacing w:before="0" w:after="240"/>
      </w:pPr>
      <w:r>
        <w:t xml:space="preserve">rising supermarket profits and the large increase in price of essential </w:t>
      </w:r>
      <w:proofErr w:type="gramStart"/>
      <w:r>
        <w:t>items;</w:t>
      </w:r>
      <w:proofErr w:type="gramEnd"/>
    </w:p>
    <w:p w14:paraId="2466A20F" w14:textId="77777777" w:rsidR="00814074" w:rsidRDefault="1FD19687" w:rsidP="005D2A0F">
      <w:pPr>
        <w:pStyle w:val="Dash"/>
        <w:spacing w:before="0" w:after="240"/>
      </w:pPr>
      <w:r>
        <w:t xml:space="preserve">the prevalence of opportunistic pricing, price mark-ups and discounts that are not </w:t>
      </w:r>
      <w:proofErr w:type="gramStart"/>
      <w:r>
        <w:t>discounts;</w:t>
      </w:r>
      <w:proofErr w:type="gramEnd"/>
    </w:p>
    <w:p w14:paraId="1063EA9A" w14:textId="77777777" w:rsidR="00814074" w:rsidRDefault="1FD19687" w:rsidP="005D2A0F">
      <w:pPr>
        <w:pStyle w:val="Dash"/>
        <w:spacing w:before="0" w:after="240"/>
      </w:pPr>
      <w:r>
        <w:t xml:space="preserve">the contribution of home brand products to the concentration of corporate </w:t>
      </w:r>
      <w:proofErr w:type="gramStart"/>
      <w:r>
        <w:t>power;</w:t>
      </w:r>
      <w:proofErr w:type="gramEnd"/>
    </w:p>
    <w:p w14:paraId="642BBE8E" w14:textId="77777777" w:rsidR="00814074" w:rsidRDefault="1FD19687" w:rsidP="005D2A0F">
      <w:pPr>
        <w:pStyle w:val="Dash"/>
        <w:spacing w:before="0" w:after="240"/>
      </w:pPr>
      <w:r>
        <w:t xml:space="preserve">the use of technology and automation to extract cost-savings from consumers and </w:t>
      </w:r>
      <w:proofErr w:type="gramStart"/>
      <w:r>
        <w:t>employees;</w:t>
      </w:r>
      <w:proofErr w:type="gramEnd"/>
    </w:p>
    <w:p w14:paraId="7D3A38A8" w14:textId="77777777" w:rsidR="00814074" w:rsidRDefault="1FD19687" w:rsidP="005D2A0F">
      <w:pPr>
        <w:pStyle w:val="Dash"/>
        <w:spacing w:before="0" w:after="240"/>
      </w:pPr>
      <w:r>
        <w:t xml:space="preserve">improvements to the regulatory framework to deliver lower prices for food and </w:t>
      </w:r>
      <w:proofErr w:type="gramStart"/>
      <w:r>
        <w:t>groceries;</w:t>
      </w:r>
      <w:proofErr w:type="gramEnd"/>
    </w:p>
    <w:p w14:paraId="3D9C7486" w14:textId="77777777" w:rsidR="00814074" w:rsidRDefault="1FD19687" w:rsidP="005D2A0F">
      <w:pPr>
        <w:pStyle w:val="Dash"/>
        <w:spacing w:before="0" w:after="240"/>
      </w:pPr>
      <w:r>
        <w:t xml:space="preserve">frameworks to protect suppliers when interacting with the major </w:t>
      </w:r>
      <w:proofErr w:type="gramStart"/>
      <w:r>
        <w:t>supermarkets;</w:t>
      </w:r>
      <w:proofErr w:type="gramEnd"/>
    </w:p>
    <w:p w14:paraId="362F1D4F" w14:textId="77777777" w:rsidR="00814074" w:rsidRDefault="1FD19687" w:rsidP="005D2A0F">
      <w:pPr>
        <w:pStyle w:val="Dash"/>
        <w:spacing w:before="0" w:after="240"/>
      </w:pPr>
      <w:r>
        <w:t>the role of multinational food companies in price inflation; and</w:t>
      </w:r>
    </w:p>
    <w:p w14:paraId="4884375D" w14:textId="77777777" w:rsidR="00814074" w:rsidRDefault="1FD19687" w:rsidP="00814074">
      <w:pPr>
        <w:pStyle w:val="Dash"/>
      </w:pPr>
      <w:r>
        <w:t>any other related matters.</w:t>
      </w:r>
    </w:p>
    <w:p w14:paraId="134CD88F" w14:textId="6ED4BD2D" w:rsidR="00814074" w:rsidRDefault="00814074" w:rsidP="00814074">
      <w:r>
        <w:t>The committee is to present a final report by 7 May 2024.</w:t>
      </w:r>
    </w:p>
    <w:p w14:paraId="061C9D66" w14:textId="77777777" w:rsidR="00814074" w:rsidRDefault="00814074" w:rsidP="00814074">
      <w:pPr>
        <w:pStyle w:val="Heading3"/>
      </w:pPr>
      <w:bookmarkStart w:id="24" w:name="_Toc157700856"/>
      <w:r>
        <w:t>Anti-competitive planning and zoning laws</w:t>
      </w:r>
      <w:bookmarkEnd w:id="24"/>
      <w:r>
        <w:t xml:space="preserve"> </w:t>
      </w:r>
    </w:p>
    <w:p w14:paraId="12CF156B" w14:textId="782D4789" w:rsidR="00814074" w:rsidRDefault="00814074" w:rsidP="00814074">
      <w:r>
        <w:t xml:space="preserve">State and local government planning systems by their very nature create barriers to business entry, including through limiting the number, size and operating model and mix of businesses. This is </w:t>
      </w:r>
      <w:r>
        <w:lastRenderedPageBreak/>
        <w:t xml:space="preserve">because planning systems seek to balance many competing objectives relating to sustainability, </w:t>
      </w:r>
      <w:proofErr w:type="gramStart"/>
      <w:r>
        <w:t>transportation</w:t>
      </w:r>
      <w:proofErr w:type="gramEnd"/>
      <w:r>
        <w:t xml:space="preserve"> and other matters. However, there is a question </w:t>
      </w:r>
      <w:r w:rsidR="00E64827">
        <w:t>as t</w:t>
      </w:r>
      <w:r w:rsidR="00913E27">
        <w:t>o</w:t>
      </w:r>
      <w:r>
        <w:t xml:space="preserve"> whether the objectives of some state and local planning systems give appropriate weighting to the interests of grocery consumers. </w:t>
      </w:r>
    </w:p>
    <w:p w14:paraId="2D7568AA" w14:textId="77777777" w:rsidR="00814074" w:rsidRDefault="00814074" w:rsidP="00814074">
      <w:r>
        <w:t>For example, planning systems and their decision makers may reject the approval of a new supermarket if it damages the interest of existing retailers, even when the benefit to consumers outweighs the detriment to incumbent retailers. It can do so overtly through rejecting a proposal based on consultation submissions.</w:t>
      </w:r>
    </w:p>
    <w:p w14:paraId="0C3CFD7B" w14:textId="77777777" w:rsidR="00814074" w:rsidRDefault="00814074" w:rsidP="00814074">
      <w:r>
        <w:t xml:space="preserve">Planning systems may also have more obscure ways of blocking new supermarkets; for example, placing caps on consolidating retail space, retailing hours and restrictions on the supply of alcohol. Since supermarkets generally need a large amount of consolidated retail space, such laws prevent new supermarkets from </w:t>
      </w:r>
      <w:proofErr w:type="gramStart"/>
      <w:r>
        <w:t>opening up</w:t>
      </w:r>
      <w:proofErr w:type="gramEnd"/>
      <w:r>
        <w:t xml:space="preserve"> in many areas, even where commercial zoning exists.</w:t>
      </w:r>
    </w:p>
    <w:p w14:paraId="1AD5023F" w14:textId="77777777" w:rsidR="00814074" w:rsidRDefault="00814074" w:rsidP="00814074">
      <w:r>
        <w:t>Aldi, a more recent supermarket entrant, managed to get around some of these planning restrictions as it generally has smaller store layouts and was willing to open in unconventional locations, including industrial zones and near airports. However, other potential entrants, such as Kaufland, have explicitly chosen not to proceed with entering the Australian market, despite expending a large amount of effort to navigate different planning systems to try secure viable retail sites.</w:t>
      </w:r>
    </w:p>
    <w:p w14:paraId="78C3E4F4" w14:textId="2F670617" w:rsidR="00814074" w:rsidRPr="008B61A6" w:rsidRDefault="00814074" w:rsidP="00814074">
      <w:r>
        <w:t xml:space="preserve">Planning systems are predominantly the domain of state and local governments. The Australian Government is working with state and territory governments through </w:t>
      </w:r>
      <w:r w:rsidRPr="008B61A6">
        <w:t xml:space="preserve">National Cabinet </w:t>
      </w:r>
      <w:r>
        <w:t>on a</w:t>
      </w:r>
      <w:r w:rsidRPr="008B61A6">
        <w:t xml:space="preserve"> National Planning Reform Blueprint</w:t>
      </w:r>
      <w:r w:rsidR="003A3370">
        <w:t>,</w:t>
      </w:r>
      <w:r w:rsidRPr="006776EB">
        <w:rPr>
          <w:rStyle w:val="FootnoteReference"/>
          <w:sz w:val="22"/>
          <w:vertAlign w:val="superscript"/>
        </w:rPr>
        <w:footnoteReference w:id="53"/>
      </w:r>
      <w:r w:rsidRPr="008B61A6">
        <w:t xml:space="preserve"> with planning, zoning, land release and other measures</w:t>
      </w:r>
      <w:r>
        <w:t xml:space="preserve"> to </w:t>
      </w:r>
      <w:r w:rsidRPr="008B61A6">
        <w:t>improve housing supply and affordability.</w:t>
      </w:r>
      <w:r>
        <w:t xml:space="preserve"> While the reforms are focused on housing outcomes, a general s</w:t>
      </w:r>
      <w:r w:rsidRPr="00B745A3">
        <w:t>treamlining</w:t>
      </w:r>
      <w:r>
        <w:t xml:space="preserve"> of </w:t>
      </w:r>
      <w:r w:rsidRPr="00B745A3">
        <w:t>approval pathway</w:t>
      </w:r>
      <w:r>
        <w:t xml:space="preserve">s in planning systems might also have flow-on benefits for business approvals. </w:t>
      </w:r>
    </w:p>
    <w:p w14:paraId="0E335C14" w14:textId="77777777" w:rsidR="00814074" w:rsidRDefault="00814074" w:rsidP="00814074">
      <w:pPr>
        <w:pStyle w:val="Heading3"/>
      </w:pPr>
      <w:bookmarkStart w:id="25" w:name="_Toc157700857"/>
      <w:r>
        <w:t>Competition Taskforce</w:t>
      </w:r>
      <w:bookmarkEnd w:id="25"/>
    </w:p>
    <w:p w14:paraId="6360336B" w14:textId="2E3D41EC" w:rsidR="00814074" w:rsidRDefault="00814074" w:rsidP="00814074">
      <w:pPr>
        <w:rPr>
          <w:iCs/>
        </w:rPr>
      </w:pPr>
      <w:r>
        <w:rPr>
          <w:iCs/>
        </w:rPr>
        <w:t xml:space="preserve">In August 2023, the Government announced a Competition Review which is set to last </w:t>
      </w:r>
      <w:r w:rsidR="007A36BE">
        <w:rPr>
          <w:iCs/>
        </w:rPr>
        <w:t>two</w:t>
      </w:r>
      <w:r>
        <w:rPr>
          <w:iCs/>
        </w:rPr>
        <w:t xml:space="preserve"> years and focus on the Government’s priorities for modernising the Australian economy. A </w:t>
      </w:r>
      <w:r w:rsidR="007A36BE">
        <w:rPr>
          <w:iCs/>
        </w:rPr>
        <w:t>seven</w:t>
      </w:r>
      <w:r>
        <w:rPr>
          <w:iCs/>
        </w:rPr>
        <w:t>-person Expert Advisory Panel has been appointed to support the Review, which will respond to evidence that limited competition has contributed to a less dynamic and productive economy, and higher prices for consumers. The review will be looking especially at merger reforms and whether creeping or serial acquisitions in sectors such as supermarkets, liquor and hardware are adequately capture by current competition laws.</w:t>
      </w:r>
    </w:p>
    <w:p w14:paraId="04FEDFC2" w14:textId="7AD2A4A5" w:rsidR="001B121F" w:rsidRDefault="00E1074B" w:rsidP="00E4063E">
      <w:pPr>
        <w:rPr>
          <w:iCs/>
        </w:rPr>
      </w:pPr>
      <w:r w:rsidRPr="00E1074B">
        <w:rPr>
          <w:iCs/>
        </w:rPr>
        <w:t>The Competition Taskforce is also working with state and territory governments to identify pro</w:t>
      </w:r>
      <w:r>
        <w:rPr>
          <w:iCs/>
        </w:rPr>
        <w:noBreakHyphen/>
      </w:r>
      <w:r w:rsidRPr="00E1074B">
        <w:rPr>
          <w:iCs/>
        </w:rPr>
        <w:t xml:space="preserve">competitive reforms to boost competition nationally. In December 2023, </w:t>
      </w:r>
      <w:r w:rsidR="008E0E83">
        <w:rPr>
          <w:iCs/>
        </w:rPr>
        <w:t>t</w:t>
      </w:r>
      <w:r w:rsidRPr="00E1074B">
        <w:rPr>
          <w:iCs/>
        </w:rPr>
        <w:t>reasurers agreed to revitalise National Competition Policy.</w:t>
      </w:r>
      <w:r w:rsidRPr="001677FC">
        <w:rPr>
          <w:rStyle w:val="FootnoteReference"/>
          <w:iCs/>
          <w:sz w:val="22"/>
          <w:vertAlign w:val="superscript"/>
        </w:rPr>
        <w:footnoteReference w:id="54"/>
      </w:r>
      <w:r>
        <w:rPr>
          <w:iCs/>
        </w:rPr>
        <w:t xml:space="preserve"> </w:t>
      </w:r>
      <w:r w:rsidR="006E7684">
        <w:rPr>
          <w:iCs/>
        </w:rPr>
        <w:t>T</w:t>
      </w:r>
      <w:r w:rsidRPr="00E1074B">
        <w:rPr>
          <w:iCs/>
        </w:rPr>
        <w:t>his will in</w:t>
      </w:r>
      <w:r w:rsidR="004A7372">
        <w:rPr>
          <w:iCs/>
        </w:rPr>
        <w:t>clude</w:t>
      </w:r>
      <w:r w:rsidRPr="00E1074B">
        <w:rPr>
          <w:iCs/>
        </w:rPr>
        <w:t xml:space="preserve"> considering whether the original National Competition Policy agreements, including the Competition Principles, remain fit for the modern economy, as well as establishing a new long</w:t>
      </w:r>
      <w:r w:rsidR="00420DA0">
        <w:rPr>
          <w:iCs/>
        </w:rPr>
        <w:noBreakHyphen/>
      </w:r>
      <w:r w:rsidRPr="00E1074B">
        <w:rPr>
          <w:iCs/>
        </w:rPr>
        <w:t>term agenda of pro</w:t>
      </w:r>
      <w:r w:rsidR="006B1191">
        <w:rPr>
          <w:iCs/>
        </w:rPr>
        <w:t>-</w:t>
      </w:r>
      <w:r w:rsidRPr="00E1074B">
        <w:rPr>
          <w:iCs/>
        </w:rPr>
        <w:t>competitive national reform</w:t>
      </w:r>
      <w:r w:rsidR="002E36F3">
        <w:rPr>
          <w:iCs/>
        </w:rPr>
        <w:t>s</w:t>
      </w:r>
      <w:r w:rsidRPr="00E1074B">
        <w:rPr>
          <w:iCs/>
        </w:rPr>
        <w:t xml:space="preserve">. </w:t>
      </w:r>
      <w:r w:rsidR="00DD14D4">
        <w:rPr>
          <w:iCs/>
        </w:rPr>
        <w:t>A</w:t>
      </w:r>
      <w:r w:rsidRPr="00E1074B">
        <w:rPr>
          <w:iCs/>
        </w:rPr>
        <w:t>mong th</w:t>
      </w:r>
      <w:r w:rsidR="00A26BCE">
        <w:rPr>
          <w:iCs/>
        </w:rPr>
        <w:t>e</w:t>
      </w:r>
      <w:r w:rsidRPr="00E1074B">
        <w:rPr>
          <w:iCs/>
        </w:rPr>
        <w:t>s</w:t>
      </w:r>
      <w:r w:rsidR="00A26BCE">
        <w:rPr>
          <w:iCs/>
        </w:rPr>
        <w:t>e</w:t>
      </w:r>
      <w:r w:rsidRPr="00E1074B">
        <w:rPr>
          <w:iCs/>
        </w:rPr>
        <w:t xml:space="preserve"> will be </w:t>
      </w:r>
      <w:r w:rsidR="00A26BCE">
        <w:rPr>
          <w:iCs/>
        </w:rPr>
        <w:t>r</w:t>
      </w:r>
      <w:r w:rsidRPr="00E1074B">
        <w:rPr>
          <w:iCs/>
        </w:rPr>
        <w:t>eforms t</w:t>
      </w:r>
      <w:r w:rsidR="00D6622F">
        <w:rPr>
          <w:iCs/>
        </w:rPr>
        <w:t>o</w:t>
      </w:r>
      <w:r w:rsidRPr="00E1074B">
        <w:rPr>
          <w:iCs/>
        </w:rPr>
        <w:t xml:space="preserve"> help alleviate cost of living </w:t>
      </w:r>
      <w:r w:rsidR="00AA438D">
        <w:rPr>
          <w:iCs/>
        </w:rPr>
        <w:t>pressur</w:t>
      </w:r>
      <w:r w:rsidRPr="00E1074B">
        <w:rPr>
          <w:iCs/>
        </w:rPr>
        <w:t xml:space="preserve">es. </w:t>
      </w:r>
    </w:p>
    <w:p w14:paraId="5CAB1FE0" w14:textId="77777777" w:rsidR="00814074" w:rsidRDefault="00814074" w:rsidP="00DD0609">
      <w:pPr>
        <w:pStyle w:val="Heading1"/>
        <w:spacing w:line="500" w:lineRule="exact"/>
      </w:pPr>
      <w:bookmarkStart w:id="26" w:name="_Toc157700858"/>
      <w:r>
        <w:lastRenderedPageBreak/>
        <w:t>Appendix A: Previous competition reforms</w:t>
      </w:r>
      <w:bookmarkEnd w:id="26"/>
    </w:p>
    <w:p w14:paraId="2BF2BD5A" w14:textId="77777777" w:rsidR="00814074" w:rsidRDefault="00814074" w:rsidP="008140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ACCC grocery inquiry</w:t>
      </w:r>
      <w:r>
        <w:rPr>
          <w:rStyle w:val="eop"/>
          <w:rFonts w:ascii="Calibri" w:hAnsi="Calibri" w:cs="Calibri"/>
          <w:sz w:val="28"/>
          <w:szCs w:val="28"/>
        </w:rPr>
        <w:t> </w:t>
      </w:r>
    </w:p>
    <w:p w14:paraId="1A56EB88" w14:textId="77777777" w:rsidR="00814074" w:rsidRPr="009B29B7" w:rsidRDefault="00814074" w:rsidP="00814074">
      <w:r w:rsidRPr="009B29B7">
        <w:t xml:space="preserve">In January 2008, the </w:t>
      </w:r>
      <w:r>
        <w:t xml:space="preserve">then </w:t>
      </w:r>
      <w:r w:rsidRPr="009B29B7">
        <w:t xml:space="preserve">Minister for Competition Policy and Consumer Affairs requested the ACCC to hold a public inquiry into the competitiveness of retail prices for standard groceries. The ACCC provided its </w:t>
      </w:r>
      <w:hyperlink r:id="rId31" w:history="1">
        <w:r w:rsidRPr="003A3370">
          <w:t>report</w:t>
        </w:r>
      </w:hyperlink>
      <w:r w:rsidRPr="009B29B7">
        <w:t xml:space="preserve"> to the Minister on 31 July 2008. </w:t>
      </w:r>
    </w:p>
    <w:p w14:paraId="13967EF9" w14:textId="77777777" w:rsidR="00814074" w:rsidRDefault="00814074" w:rsidP="008140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Introduction of the Australian Consumer Law</w:t>
      </w:r>
      <w:r>
        <w:rPr>
          <w:rStyle w:val="eop"/>
          <w:rFonts w:ascii="Calibri" w:hAnsi="Calibri" w:cs="Calibri"/>
          <w:sz w:val="28"/>
          <w:szCs w:val="28"/>
        </w:rPr>
        <w:t> </w:t>
      </w:r>
    </w:p>
    <w:p w14:paraId="0F91E3A3" w14:textId="77777777" w:rsidR="00814074" w:rsidRDefault="00814074" w:rsidP="00814074">
      <w:pPr>
        <w:pStyle w:val="paragraph"/>
        <w:spacing w:before="0" w:beforeAutospacing="0" w:after="0" w:afterAutospacing="0"/>
        <w:textAlignment w:val="baseline"/>
        <w:rPr>
          <w:rFonts w:ascii="Calibri Light" w:hAnsi="Calibri Light"/>
          <w:sz w:val="22"/>
          <w:szCs w:val="20"/>
        </w:rPr>
      </w:pPr>
    </w:p>
    <w:p w14:paraId="6AD69B23" w14:textId="77777777" w:rsidR="00814074" w:rsidRPr="00303001" w:rsidRDefault="00814074" w:rsidP="00814074">
      <w:pPr>
        <w:pStyle w:val="paragraph"/>
        <w:spacing w:before="0" w:beforeAutospacing="0" w:after="0" w:afterAutospacing="0"/>
        <w:textAlignment w:val="baseline"/>
        <w:rPr>
          <w:rFonts w:asciiTheme="majorHAnsi" w:hAnsiTheme="majorHAnsi" w:cstheme="majorHAnsi"/>
          <w:sz w:val="22"/>
          <w:szCs w:val="20"/>
        </w:rPr>
      </w:pPr>
      <w:r w:rsidRPr="00303001">
        <w:rPr>
          <w:rFonts w:asciiTheme="majorHAnsi" w:hAnsiTheme="majorHAnsi" w:cstheme="majorHAnsi"/>
          <w:sz w:val="22"/>
          <w:szCs w:val="20"/>
        </w:rPr>
        <w:t>On 24 June 2009, the Australian Government introduced into Parliament a bill to commence the creation for the first time of an Australian Consumer Law, a single, national consumer law. The legislation ensured that Australia’s national regulators – the ACCC and ASIC – had a broader range of more effective enforcement measures to protect and help consumers.  </w:t>
      </w:r>
    </w:p>
    <w:p w14:paraId="460A6D06" w14:textId="77777777" w:rsidR="00814074" w:rsidRPr="00677F33" w:rsidRDefault="00814074" w:rsidP="00814074">
      <w:r w:rsidRPr="00303001">
        <w:rPr>
          <w:rFonts w:asciiTheme="majorHAnsi" w:hAnsiTheme="majorHAnsi" w:cstheme="majorHAnsi"/>
          <w:color w:val="auto"/>
        </w:rPr>
        <w:t>The reform</w:t>
      </w:r>
      <w:r w:rsidRPr="00290684">
        <w:rPr>
          <w:color w:val="auto"/>
        </w:rPr>
        <w:t xml:space="preserve"> </w:t>
      </w:r>
      <w:r w:rsidRPr="00677F33">
        <w:t xml:space="preserve">process culminated in the Australian </w:t>
      </w:r>
      <w:r w:rsidRPr="0026712E">
        <w:rPr>
          <w:i/>
          <w:iCs/>
        </w:rPr>
        <w:t>Competition and Consumer Act 2010</w:t>
      </w:r>
      <w:r w:rsidRPr="00677F33">
        <w:t>, the first national law covering both competition policy and consumer protection. </w:t>
      </w:r>
      <w:r w:rsidRPr="004F0DDB">
        <w:t xml:space="preserve">The </w:t>
      </w:r>
      <w:r w:rsidRPr="001068F0">
        <w:rPr>
          <w:i/>
        </w:rPr>
        <w:t xml:space="preserve">Competition and Consumer Act 2010 </w:t>
      </w:r>
      <w:r w:rsidRPr="004F0DDB">
        <w:t>covers most areas of the market: the relationships between suppliers, wholesalers, retailers, and consumers. Its purpose is to enhance the welfare of Australians by promoting fair trading and competition, and through the provision of consumer protections.</w:t>
      </w:r>
    </w:p>
    <w:p w14:paraId="19055AD2" w14:textId="77777777" w:rsidR="00814074" w:rsidRDefault="00814074" w:rsidP="00814074">
      <w:pPr>
        <w:rPr>
          <w:iCs/>
          <w:color w:val="auto"/>
        </w:rPr>
      </w:pPr>
      <w:r w:rsidRPr="00792AEC">
        <w:rPr>
          <w:iCs/>
          <w:color w:val="auto"/>
        </w:rPr>
        <w:t xml:space="preserve">The Australian Consumer Law prohibits businesses from engaging in </w:t>
      </w:r>
      <w:proofErr w:type="gramStart"/>
      <w:r w:rsidRPr="00792AEC">
        <w:rPr>
          <w:iCs/>
          <w:color w:val="auto"/>
        </w:rPr>
        <w:t>conduct</w:t>
      </w:r>
      <w:proofErr w:type="gramEnd"/>
      <w:r w:rsidRPr="00792AEC">
        <w:rPr>
          <w:iCs/>
          <w:color w:val="auto"/>
        </w:rPr>
        <w:t xml:space="preserve"> which is misleading or deceptive, or is likely to mislead or deceive. Misleading or deceptive conduct is assessed against whether an “ordinary” or “reasonable” member of the relevant class of people to whom the conduct was directed </w:t>
      </w:r>
      <w:r>
        <w:rPr>
          <w:iCs/>
          <w:color w:val="auto"/>
        </w:rPr>
        <w:t xml:space="preserve">is </w:t>
      </w:r>
      <w:r w:rsidRPr="00792AEC">
        <w:rPr>
          <w:iCs/>
          <w:color w:val="auto"/>
        </w:rPr>
        <w:t xml:space="preserve">likely to be misled. </w:t>
      </w:r>
    </w:p>
    <w:p w14:paraId="7D79E362" w14:textId="77777777" w:rsidR="00814074" w:rsidRDefault="00814074" w:rsidP="00814074">
      <w:pPr>
        <w:rPr>
          <w:iCs/>
          <w:color w:val="auto"/>
        </w:rPr>
      </w:pPr>
      <w:r>
        <w:rPr>
          <w:iCs/>
          <w:color w:val="auto"/>
        </w:rPr>
        <w:t>The Australian Consumer Law also contains protections against unconscionable conduct, with a general ban on conduct which is particularly harsh or oppressive. To be considered unconscionable, the conduct must be against good conscience as judged against the norms of society.</w:t>
      </w:r>
    </w:p>
    <w:p w14:paraId="4815102D" w14:textId="77777777" w:rsidR="00814074" w:rsidRDefault="00814074" w:rsidP="00814074">
      <w:pPr>
        <w:rPr>
          <w:iCs/>
          <w:color w:val="auto"/>
        </w:rPr>
      </w:pPr>
      <w:r>
        <w:rPr>
          <w:iCs/>
          <w:color w:val="auto"/>
        </w:rPr>
        <w:t xml:space="preserve">With effect from November 2023, the Australian Consumer Law provides Courts with the ability to declare contract terms in standard form consumer and small business contracts unfair and to impose significant penalties. A term of a contract is unfair if </w:t>
      </w:r>
      <w:proofErr w:type="gramStart"/>
      <w:r>
        <w:rPr>
          <w:iCs/>
          <w:color w:val="auto"/>
        </w:rPr>
        <w:t>it:</w:t>
      </w:r>
      <w:proofErr w:type="gramEnd"/>
      <w:r>
        <w:rPr>
          <w:iCs/>
          <w:color w:val="auto"/>
        </w:rPr>
        <w:t xml:space="preserve"> causes a significant imbalance in the parties’ rights and obligations; is not reasonably necessary to protect the legitimate interests of the supplier; and would cause significant detriment to a party.</w:t>
      </w:r>
    </w:p>
    <w:p w14:paraId="6B1A65A3" w14:textId="77777777" w:rsidR="00814074" w:rsidRDefault="00814074" w:rsidP="00814074">
      <w:pPr>
        <w:rPr>
          <w:iCs/>
          <w:color w:val="auto"/>
        </w:rPr>
      </w:pPr>
      <w:r>
        <w:rPr>
          <w:iCs/>
          <w:color w:val="auto"/>
        </w:rPr>
        <w:t>In August 2023, the Government released a consultation regulation impact statement on protecting consumers from unfair trading practices. The closing date for submissions was 29 November 2023. The Government is currently considering the submissions received on this consultation paper.</w:t>
      </w:r>
    </w:p>
    <w:p w14:paraId="6EBA0F81" w14:textId="77777777" w:rsidR="00814074" w:rsidRDefault="00814074" w:rsidP="008140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Removal of restrictive provisions in supermarket leases</w:t>
      </w:r>
      <w:r>
        <w:rPr>
          <w:rStyle w:val="eop"/>
          <w:rFonts w:ascii="Calibri" w:hAnsi="Calibri" w:cs="Calibri"/>
          <w:sz w:val="28"/>
          <w:szCs w:val="28"/>
        </w:rPr>
        <w:t> </w:t>
      </w:r>
    </w:p>
    <w:p w14:paraId="14242A72" w14:textId="77777777" w:rsidR="00C551A2" w:rsidRPr="00677F33" w:rsidRDefault="00C551A2" w:rsidP="00C551A2">
      <w:r w:rsidRPr="00677F33">
        <w:t>During its grocery inquiry in 2008, the ACCC identified a practice where supermarket operators would include tenancy terms which may have prevented shopping centre managers leasing space to any competing supermarkets. This had the potential to impose restrictions on the number of supermarket outlets in centres and consequently limit options for consumers. </w:t>
      </w:r>
    </w:p>
    <w:p w14:paraId="3E841DB8" w14:textId="25DD5BF0" w:rsidR="00814074" w:rsidRPr="00677F33" w:rsidRDefault="00814074" w:rsidP="00814074">
      <w:r w:rsidRPr="00677F33">
        <w:lastRenderedPageBreak/>
        <w:t xml:space="preserve">In September 2009, the ACCC announced it had reached agreement with Coles and Woolworths to phase out restrictive provisions in more than 700 supermarket leases. At the time, ACCC Chairman, Graeme Samuel AO described the reform as </w:t>
      </w:r>
      <w:proofErr w:type="gramStart"/>
      <w:r w:rsidRPr="00677F33">
        <w:t>a major breakthrough</w:t>
      </w:r>
      <w:proofErr w:type="gramEnd"/>
      <w:r w:rsidRPr="00677F33">
        <w:t xml:space="preserve"> for grocery competition in Australia: </w:t>
      </w:r>
    </w:p>
    <w:p w14:paraId="6D74F348" w14:textId="5A296A3E" w:rsidR="00814074" w:rsidRPr="00677F33" w:rsidRDefault="00814074" w:rsidP="00814074">
      <w:pPr>
        <w:ind w:left="720"/>
      </w:pPr>
      <w:r w:rsidRPr="00677F33">
        <w:t>“</w:t>
      </w:r>
      <w:r w:rsidRPr="00290684">
        <w:rPr>
          <w:i/>
          <w:iCs/>
        </w:rPr>
        <w:t>Reducing the barriers to entry for new and expanding players opens the possibility for Australian consumers to have greater choices in where to shop, and potentially pay lower prices as a result</w:t>
      </w:r>
      <w:r w:rsidRPr="00677F33">
        <w:t>."</w:t>
      </w:r>
      <w:r w:rsidR="003A3370">
        <w:t xml:space="preserve"> </w:t>
      </w:r>
      <w:r w:rsidRPr="003A3370">
        <w:rPr>
          <w:rStyle w:val="FootnoteReference"/>
          <w:sz w:val="22"/>
          <w:vertAlign w:val="superscript"/>
        </w:rPr>
        <w:footnoteReference w:id="55"/>
      </w:r>
      <w:r w:rsidRPr="003A3370">
        <w:rPr>
          <w:rStyle w:val="FootnoteReference"/>
          <w:sz w:val="22"/>
          <w:vertAlign w:val="superscript"/>
        </w:rPr>
        <w:t> </w:t>
      </w:r>
    </w:p>
    <w:p w14:paraId="0FCF69EE" w14:textId="77777777" w:rsidR="00814074" w:rsidRPr="00677F33" w:rsidRDefault="00814074" w:rsidP="00814074">
      <w:r w:rsidRPr="00677F33">
        <w:t>The agreement reach</w:t>
      </w:r>
      <w:r>
        <w:t>ed</w:t>
      </w:r>
      <w:r w:rsidRPr="00677F33">
        <w:t xml:space="preserve"> with Coles and Woolworths was in the form of a court-enforceable undertaking. </w:t>
      </w:r>
    </w:p>
    <w:p w14:paraId="231F7946" w14:textId="77777777" w:rsidR="00814074" w:rsidRPr="00677F33" w:rsidRDefault="00814074" w:rsidP="0081407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 xml:space="preserve">Laws to deal with creeping acquisitions by </w:t>
      </w:r>
      <w:proofErr w:type="gramStart"/>
      <w:r>
        <w:rPr>
          <w:rStyle w:val="normaltextrun"/>
          <w:rFonts w:ascii="Calibri" w:hAnsi="Calibri" w:cs="Calibri"/>
          <w:b/>
          <w:bCs/>
          <w:sz w:val="28"/>
          <w:szCs w:val="28"/>
        </w:rPr>
        <w:t>supermarkets</w:t>
      </w:r>
      <w:proofErr w:type="gramEnd"/>
      <w:r>
        <w:rPr>
          <w:rStyle w:val="eop"/>
          <w:rFonts w:ascii="Calibri" w:hAnsi="Calibri" w:cs="Calibri"/>
          <w:sz w:val="28"/>
          <w:szCs w:val="28"/>
        </w:rPr>
        <w:t> </w:t>
      </w:r>
    </w:p>
    <w:p w14:paraId="4B5BFAB5" w14:textId="788FA0BD" w:rsidR="0019502B" w:rsidRPr="0019502B" w:rsidRDefault="0019502B" w:rsidP="0019502B">
      <w:pPr>
        <w:rPr>
          <w:vertAlign w:val="superscript"/>
        </w:rPr>
      </w:pPr>
      <w:r w:rsidRPr="0019502B">
        <w:t>On 20 December 2011, the Australian Government introduced legislation to deal with creeping acquisitions, in a bid to limit the market power of the major supermarkets.</w:t>
      </w:r>
      <w:r w:rsidR="003A3370" w:rsidRPr="003A3370">
        <w:rPr>
          <w:rStyle w:val="FootnoteReference"/>
          <w:sz w:val="22"/>
          <w:vertAlign w:val="superscript"/>
        </w:rPr>
        <w:footnoteReference w:id="56"/>
      </w:r>
      <w:r w:rsidRPr="003A3370">
        <w:rPr>
          <w:rStyle w:val="FootnoteReference"/>
          <w:sz w:val="22"/>
          <w:vertAlign w:val="superscript"/>
        </w:rPr>
        <w:t xml:space="preserve"> </w:t>
      </w:r>
      <w:r w:rsidRPr="0019502B">
        <w:t xml:space="preserve">The amending legislation was designed to ensure the ACCC had the power to reject acquisitions that would substantially lessen competition in any local, </w:t>
      </w:r>
      <w:proofErr w:type="gramStart"/>
      <w:r w:rsidRPr="0019502B">
        <w:t>regional</w:t>
      </w:r>
      <w:proofErr w:type="gramEnd"/>
      <w:r w:rsidRPr="0019502B">
        <w:t xml:space="preserve"> or national market.</w:t>
      </w:r>
      <w:r w:rsidR="006A5E5B" w:rsidRPr="003A3370">
        <w:rPr>
          <w:rStyle w:val="FootnoteReference"/>
          <w:sz w:val="22"/>
          <w:vertAlign w:val="superscript"/>
        </w:rPr>
        <w:footnoteReference w:id="57"/>
      </w:r>
    </w:p>
    <w:p w14:paraId="7E23B203" w14:textId="055CCB3A" w:rsidR="0019502B" w:rsidRPr="0019502B" w:rsidRDefault="0019502B" w:rsidP="0019502B">
      <w:r w:rsidRPr="0019502B">
        <w:t xml:space="preserve">The move followed a private legal opinion for one of the major supermarkets questioning whether the ACCC had the power to consider effects on competition in local markets, suggesting it could examine impacts only in regional markets and the national market. The reforms clarified that the ACCC, in deciding whether an acquisition would substantially lessen competition, can examine the impact on any market – local, </w:t>
      </w:r>
      <w:proofErr w:type="gramStart"/>
      <w:r w:rsidRPr="0019502B">
        <w:t>regional</w:t>
      </w:r>
      <w:proofErr w:type="gramEnd"/>
      <w:r w:rsidRPr="0019502B">
        <w:t xml:space="preserve"> or national.</w:t>
      </w:r>
    </w:p>
    <w:p w14:paraId="05B97279" w14:textId="26C6714A" w:rsidR="00C60B0F" w:rsidRPr="0019502B" w:rsidRDefault="0019502B" w:rsidP="0019502B">
      <w:r w:rsidRPr="0019502B">
        <w:t>The amendments also confirmed the ACCC’s power to examine the acquisition of greenfield sites, which had previously come under question. They empowered the ACCC to review acquisitions of new sites by the major supermarket chains and to investigate whether such acquisitions could substantially lessen competition.</w:t>
      </w:r>
    </w:p>
    <w:sectPr w:rsidR="00C60B0F" w:rsidRPr="0019502B" w:rsidSect="00362ADE">
      <w:headerReference w:type="even" r:id="rId32"/>
      <w:headerReference w:type="default" r:id="rId33"/>
      <w:footerReference w:type="even" r:id="rId34"/>
      <w:footerReference w:type="default" r:id="rId35"/>
      <w:headerReference w:type="first" r:id="rId36"/>
      <w:footerReference w:type="first" r:id="rId37"/>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3178B" w14:textId="77777777" w:rsidR="00C87785" w:rsidRDefault="00C87785">
      <w:pPr>
        <w:spacing w:before="0" w:after="0"/>
      </w:pPr>
      <w:r>
        <w:separator/>
      </w:r>
    </w:p>
  </w:endnote>
  <w:endnote w:type="continuationSeparator" w:id="0">
    <w:p w14:paraId="2F28001F" w14:textId="77777777" w:rsidR="00C87785" w:rsidRDefault="00C87785">
      <w:pPr>
        <w:spacing w:before="0" w:after="0"/>
      </w:pPr>
      <w:r>
        <w:continuationSeparator/>
      </w:r>
    </w:p>
  </w:endnote>
  <w:endnote w:type="continuationNotice" w:id="1">
    <w:p w14:paraId="1882908D" w14:textId="77777777" w:rsidR="00C87785" w:rsidRDefault="00C8778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A9B8" w14:textId="0C92E3C6" w:rsidR="00814074" w:rsidRPr="00577281" w:rsidRDefault="00665FB5" w:rsidP="00362ADE">
    <w:pPr>
      <w:pStyle w:val="FooterOdd"/>
    </w:pPr>
    <w:fldSimple w:instr="STYLEREF  &quot;Heading 1&quot;  \* MERGEFORMAT">
      <w:r w:rsidR="00523CEC">
        <w:rPr>
          <w:noProof/>
        </w:rPr>
        <w:t>Review of the Food and Grocery Code of Conduct</w:t>
      </w:r>
    </w:fldSimple>
    <w:r w:rsidR="00814074">
      <w:t xml:space="preserve"> | </w:t>
    </w:r>
    <w:r w:rsidR="00814074">
      <w:fldChar w:fldCharType="begin"/>
    </w:r>
    <w:r w:rsidR="00814074">
      <w:instrText xml:space="preserve"> PAGE   \* MERGEFORMAT </w:instrText>
    </w:r>
    <w:r w:rsidR="00814074">
      <w:fldChar w:fldCharType="separate"/>
    </w:r>
    <w:r w:rsidR="00814074">
      <w:t>3</w:t>
    </w:r>
    <w:r w:rsidR="0081407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BB9F" w14:textId="77777777" w:rsidR="00814074" w:rsidRDefault="00814074" w:rsidP="003C6534">
    <w:pPr>
      <w:pStyle w:val="FooterOdd"/>
    </w:pP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998C" w14:textId="751D358D" w:rsidR="00814074" w:rsidRPr="001515FD" w:rsidRDefault="00665FB5" w:rsidP="00191CFE">
    <w:pPr>
      <w:pStyle w:val="FooterOdd"/>
    </w:pPr>
    <w:fldSimple w:instr="STYLEREF  &quot;Heading 1&quot;  \* MERGEFORMAT">
      <w:r w:rsidR="00523CEC">
        <w:rPr>
          <w:noProof/>
        </w:rPr>
        <w:t>Foreword from Dr Craig Emerson</w:t>
      </w:r>
    </w:fldSimple>
    <w:r w:rsidR="00814074">
      <w:t xml:space="preserve"> | </w:t>
    </w:r>
    <w:r w:rsidR="00814074">
      <w:fldChar w:fldCharType="begin"/>
    </w:r>
    <w:r w:rsidR="00814074">
      <w:instrText xml:space="preserve"> PAGE   \* MERGEFORMAT </w:instrText>
    </w:r>
    <w:r w:rsidR="00814074">
      <w:fldChar w:fldCharType="separate"/>
    </w:r>
    <w:r w:rsidR="00814074">
      <w:t>1</w:t>
    </w:r>
    <w:r w:rsidR="0081407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E94C" w14:textId="2610FD24"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523CEC">
        <w:t>Food and Grocery Code: voluntary or mandatory?</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720D" w14:textId="0866CC43" w:rsidR="00C60B0F" w:rsidRPr="001515FD" w:rsidRDefault="00665FB5" w:rsidP="00AB738A">
    <w:pPr>
      <w:pStyle w:val="FooterOdd"/>
    </w:pPr>
    <w:fldSimple w:instr="STYLEREF  &quot;Heading 1&quot;  \* MERGEFORMAT">
      <w:r w:rsidR="00523CEC">
        <w:rPr>
          <w:noProof/>
        </w:rPr>
        <w:t>Food and Grocery Code: voluntary or mandatory?</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9F24"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D18E1" w14:textId="77777777" w:rsidR="00C87785" w:rsidRPr="00ED5A20" w:rsidRDefault="00C87785" w:rsidP="000F6233">
      <w:pPr>
        <w:rPr>
          <w:color w:val="B2B2B2" w:themeColor="accent2"/>
        </w:rPr>
      </w:pPr>
      <w:r w:rsidRPr="00ED5A20">
        <w:rPr>
          <w:color w:val="B2B2B2" w:themeColor="accent2"/>
        </w:rPr>
        <w:separator/>
      </w:r>
    </w:p>
  </w:footnote>
  <w:footnote w:type="continuationSeparator" w:id="0">
    <w:p w14:paraId="1C6E2C92" w14:textId="77777777" w:rsidR="00C87785" w:rsidRPr="00B737EB" w:rsidRDefault="00C87785">
      <w:pPr>
        <w:spacing w:before="0" w:after="0"/>
        <w:rPr>
          <w:color w:val="E6E6E6" w:themeColor="accent1"/>
        </w:rPr>
      </w:pPr>
      <w:r w:rsidRPr="00B737EB">
        <w:rPr>
          <w:color w:val="E6E6E6" w:themeColor="accent1"/>
        </w:rPr>
        <w:continuationSeparator/>
      </w:r>
    </w:p>
  </w:footnote>
  <w:footnote w:type="continuationNotice" w:id="1">
    <w:p w14:paraId="17EF4F3F" w14:textId="77777777" w:rsidR="00C87785" w:rsidRDefault="00C87785">
      <w:pPr>
        <w:spacing w:before="0" w:after="0"/>
      </w:pPr>
    </w:p>
  </w:footnote>
  <w:footnote w:id="2">
    <w:p w14:paraId="71DDD4AC" w14:textId="61ED75C5" w:rsidR="00E30CAE" w:rsidRDefault="00E30CAE">
      <w:pPr>
        <w:pStyle w:val="FootnoteText"/>
      </w:pPr>
      <w:r>
        <w:rPr>
          <w:rStyle w:val="FootnoteReference"/>
        </w:rPr>
        <w:footnoteRef/>
      </w:r>
      <w:r>
        <w:t xml:space="preserve"> </w:t>
      </w:r>
      <w:r>
        <w:tab/>
        <w:t>The Hon</w:t>
      </w:r>
      <w:r w:rsidR="00442298">
        <w:t xml:space="preserve"> Anthony Albanese MP, The Hon Jim Chalmers</w:t>
      </w:r>
      <w:r w:rsidR="007F0C54">
        <w:t xml:space="preserve"> MP, </w:t>
      </w:r>
      <w:r w:rsidR="00504F8D">
        <w:t xml:space="preserve">The Hon Dr Andrew Leigh MP, Senator </w:t>
      </w:r>
      <w:r w:rsidR="002519AE">
        <w:t>Murray Watt</w:t>
      </w:r>
      <w:r w:rsidR="00927DCF">
        <w:t xml:space="preserve">, </w:t>
      </w:r>
      <w:hyperlink r:id="rId1" w:history="1">
        <w:r w:rsidR="00252921" w:rsidRPr="00EC6050">
          <w:rPr>
            <w:rStyle w:val="Hyperlink"/>
          </w:rPr>
          <w:t>Appointment of Dr Craig Emerson as Independent Reviewer of the Food and Grocery Code of Conduct</w:t>
        </w:r>
      </w:hyperlink>
      <w:r w:rsidR="00EC6050">
        <w:t xml:space="preserve">, </w:t>
      </w:r>
      <w:r w:rsidR="00C93E71">
        <w:t>Media Release, 10 January 2024.</w:t>
      </w:r>
    </w:p>
  </w:footnote>
  <w:footnote w:id="3">
    <w:p w14:paraId="6464A549" w14:textId="2DF8C50B" w:rsidR="0019695E" w:rsidRDefault="0019695E">
      <w:pPr>
        <w:pStyle w:val="FootnoteText"/>
      </w:pPr>
      <w:r>
        <w:rPr>
          <w:rStyle w:val="FootnoteReference"/>
        </w:rPr>
        <w:footnoteRef/>
      </w:r>
      <w:r>
        <w:t xml:space="preserve"> </w:t>
      </w:r>
      <w:r w:rsidR="000B61AB">
        <w:tab/>
      </w:r>
      <w:hyperlink r:id="rId2" w:history="1">
        <w:r>
          <w:rPr>
            <w:rStyle w:val="Hyperlink"/>
          </w:rPr>
          <w:t>S</w:t>
        </w:r>
        <w:r w:rsidR="00537729">
          <w:rPr>
            <w:rStyle w:val="Hyperlink"/>
          </w:rPr>
          <w:t>ection 2, Schedule 1</w:t>
        </w:r>
        <w:r>
          <w:rPr>
            <w:rStyle w:val="Hyperlink"/>
          </w:rPr>
          <w:t>,</w:t>
        </w:r>
        <w:r w:rsidRPr="00A63D08">
          <w:rPr>
            <w:rStyle w:val="Hyperlink"/>
          </w:rPr>
          <w:t xml:space="preserve"> Food and Grocery Code of Conduct</w:t>
        </w:r>
      </w:hyperlink>
      <w:r>
        <w:rPr>
          <w:rStyle w:val="Hyperlink"/>
        </w:rPr>
        <w:t>.</w:t>
      </w:r>
    </w:p>
  </w:footnote>
  <w:footnote w:id="4">
    <w:p w14:paraId="33486037" w14:textId="6BA22112" w:rsidR="00814074" w:rsidRDefault="00814074" w:rsidP="00814074">
      <w:pPr>
        <w:pStyle w:val="FootnoteText"/>
      </w:pPr>
      <w:r>
        <w:rPr>
          <w:rStyle w:val="FootnoteReference"/>
        </w:rPr>
        <w:footnoteRef/>
      </w:r>
      <w:r>
        <w:t xml:space="preserve"> </w:t>
      </w:r>
      <w:r>
        <w:tab/>
        <w:t>IBISWorld (August 2023), Industry Report ANZSIC G4111: Supermarkets and Grocery Stores in Australia, p</w:t>
      </w:r>
      <w:r w:rsidR="009B65D4">
        <w:t>.</w:t>
      </w:r>
      <w:r>
        <w:t> 11.</w:t>
      </w:r>
    </w:p>
  </w:footnote>
  <w:footnote w:id="5">
    <w:p w14:paraId="7A9FFEA2" w14:textId="34AE5CCC" w:rsidR="00814074" w:rsidRPr="00D61941" w:rsidRDefault="00814074" w:rsidP="00814074">
      <w:pPr>
        <w:pStyle w:val="FootnoteText"/>
      </w:pPr>
      <w:r>
        <w:rPr>
          <w:rStyle w:val="FootnoteReference"/>
        </w:rPr>
        <w:footnoteRef/>
      </w:r>
      <w:r>
        <w:t xml:space="preserve"> </w:t>
      </w:r>
      <w:r>
        <w:tab/>
      </w:r>
      <w:r w:rsidRPr="003A6C5C">
        <w:t>Sam Buckingham-Jones</w:t>
      </w:r>
      <w:r>
        <w:t xml:space="preserve">, AFR, 11 January 2024, </w:t>
      </w:r>
      <w:hyperlink r:id="rId3" w:history="1">
        <w:r w:rsidRPr="009E4605">
          <w:rPr>
            <w:rStyle w:val="Hyperlink"/>
          </w:rPr>
          <w:t>Grocery review won’t lower checkout prices: former ACCC chiefs</w:t>
        </w:r>
      </w:hyperlink>
      <w:r w:rsidR="00D3163B">
        <w:rPr>
          <w:rStyle w:val="Hyperlink"/>
        </w:rPr>
        <w:t>.</w:t>
      </w:r>
    </w:p>
  </w:footnote>
  <w:footnote w:id="6">
    <w:p w14:paraId="66F89931" w14:textId="77777777" w:rsidR="00814074" w:rsidRDefault="00814074" w:rsidP="00814074">
      <w:pPr>
        <w:pStyle w:val="FootnoteText"/>
      </w:pPr>
      <w:r>
        <w:rPr>
          <w:rStyle w:val="FootnoteReference"/>
        </w:rPr>
        <w:footnoteRef/>
      </w:r>
      <w:r>
        <w:t xml:space="preserve">  </w:t>
      </w:r>
      <w:r>
        <w:tab/>
        <w:t xml:space="preserve">National Farmers Federation, </w:t>
      </w:r>
      <w:hyperlink r:id="rId4" w:history="1">
        <w:r w:rsidRPr="00D75CCD">
          <w:rPr>
            <w:rStyle w:val="Hyperlink"/>
          </w:rPr>
          <w:t>NFF calls on Food and Grocery Code Review to give Code Teeth</w:t>
        </w:r>
      </w:hyperlink>
      <w:r w:rsidRPr="00707D60">
        <w:rPr>
          <w:color w:val="auto"/>
        </w:rPr>
        <w:t xml:space="preserve">. </w:t>
      </w:r>
      <w:r>
        <w:t xml:space="preserve"> </w:t>
      </w:r>
    </w:p>
  </w:footnote>
  <w:footnote w:id="7">
    <w:p w14:paraId="6A19CEE1" w14:textId="214802CF" w:rsidR="00814074" w:rsidRDefault="00814074" w:rsidP="00814074">
      <w:pPr>
        <w:pStyle w:val="FootnoteText"/>
      </w:pPr>
      <w:r>
        <w:rPr>
          <w:rStyle w:val="FootnoteReference"/>
        </w:rPr>
        <w:footnoteRef/>
      </w:r>
      <w:r>
        <w:t xml:space="preserve"> </w:t>
      </w:r>
      <w:r>
        <w:tab/>
        <w:t xml:space="preserve">Australian Food and Grocery Council, </w:t>
      </w:r>
      <w:hyperlink r:id="rId5" w:history="1">
        <w:r w:rsidRPr="008E033D">
          <w:rPr>
            <w:rStyle w:val="Hyperlink"/>
          </w:rPr>
          <w:t>Food and Grocery Manufacturers Welcome Review of Essential Industry Code</w:t>
        </w:r>
      </w:hyperlink>
      <w:r w:rsidR="00707D60">
        <w:rPr>
          <w:rStyle w:val="Hyperlink"/>
        </w:rPr>
        <w:t>.</w:t>
      </w:r>
      <w:r>
        <w:t xml:space="preserve"> </w:t>
      </w:r>
    </w:p>
  </w:footnote>
  <w:footnote w:id="8">
    <w:p w14:paraId="7B228505" w14:textId="77777777" w:rsidR="00814074" w:rsidRDefault="00814074" w:rsidP="00814074">
      <w:pPr>
        <w:pStyle w:val="FootnoteText"/>
        <w:rPr>
          <w:color w:val="auto"/>
        </w:rPr>
      </w:pPr>
      <w:r>
        <w:rPr>
          <w:rStyle w:val="FootnoteReference"/>
          <w:szCs w:val="18"/>
        </w:rPr>
        <w:footnoteRef/>
      </w:r>
      <w:r>
        <w:rPr>
          <w:sz w:val="18"/>
          <w:szCs w:val="18"/>
        </w:rPr>
        <w:t xml:space="preserve"> </w:t>
      </w:r>
      <w:r>
        <w:rPr>
          <w:sz w:val="18"/>
          <w:szCs w:val="18"/>
        </w:rPr>
        <w:tab/>
      </w:r>
      <w:r w:rsidRPr="004C0FDB">
        <w:t xml:space="preserve">IBISWorld, </w:t>
      </w:r>
      <w:r w:rsidRPr="004C0FDB">
        <w:rPr>
          <w:i/>
          <w:iCs/>
        </w:rPr>
        <w:t>Industry Report G4123 Liquor Retailing in Australia</w:t>
      </w:r>
      <w:r w:rsidRPr="004C0FDB">
        <w:t xml:space="preserve">, IBISWorld, 2023, p. 10. </w:t>
      </w:r>
    </w:p>
  </w:footnote>
  <w:footnote w:id="9">
    <w:p w14:paraId="7656179C" w14:textId="77777777" w:rsidR="00814074" w:rsidRDefault="00814074" w:rsidP="00814074">
      <w:pPr>
        <w:pStyle w:val="FootnoteText"/>
        <w:rPr>
          <w:color w:val="auto"/>
          <w:sz w:val="18"/>
          <w:szCs w:val="18"/>
        </w:rPr>
      </w:pPr>
      <w:r>
        <w:rPr>
          <w:rStyle w:val="FootnoteReference"/>
          <w:szCs w:val="18"/>
        </w:rPr>
        <w:footnoteRef/>
      </w:r>
      <w:r>
        <w:rPr>
          <w:sz w:val="18"/>
          <w:szCs w:val="18"/>
        </w:rPr>
        <w:t xml:space="preserve"> </w:t>
      </w:r>
      <w:r>
        <w:rPr>
          <w:sz w:val="18"/>
          <w:szCs w:val="18"/>
        </w:rPr>
        <w:tab/>
      </w:r>
      <w:r w:rsidRPr="004C0FDB">
        <w:t xml:space="preserve">ACCC, </w:t>
      </w:r>
      <w:r w:rsidRPr="004C0FDB">
        <w:rPr>
          <w:i/>
          <w:iCs/>
        </w:rPr>
        <w:t xml:space="preserve">Wine grape market study Final Report, </w:t>
      </w:r>
      <w:r w:rsidRPr="004C0FDB">
        <w:t>ACCC, 2019, p. 121.</w:t>
      </w:r>
    </w:p>
  </w:footnote>
  <w:footnote w:id="10">
    <w:p w14:paraId="5FD4B32E" w14:textId="570D5FFE" w:rsidR="00814074" w:rsidRDefault="00814074" w:rsidP="00814074">
      <w:pPr>
        <w:pStyle w:val="FootnoteText"/>
        <w:rPr>
          <w:color w:val="auto"/>
        </w:rPr>
      </w:pPr>
      <w:r>
        <w:rPr>
          <w:rStyle w:val="FootnoteReference"/>
        </w:rPr>
        <w:footnoteRef/>
      </w:r>
      <w:r>
        <w:t xml:space="preserve">  </w:t>
      </w:r>
      <w:r>
        <w:tab/>
        <w:t xml:space="preserve">ACCC, </w:t>
      </w:r>
      <w:r>
        <w:rPr>
          <w:i/>
          <w:iCs/>
        </w:rPr>
        <w:t>Wine grapes market study Follow-up review</w:t>
      </w:r>
      <w:r>
        <w:t>, ACCC, 2021, p</w:t>
      </w:r>
      <w:r w:rsidR="00B3215C">
        <w:t>p</w:t>
      </w:r>
      <w:r>
        <w:t>. 7, 10.</w:t>
      </w:r>
    </w:p>
  </w:footnote>
  <w:footnote w:id="11">
    <w:p w14:paraId="7DEAE11F" w14:textId="54E66E9B" w:rsidR="00814074" w:rsidRDefault="00814074" w:rsidP="00814074">
      <w:pPr>
        <w:pStyle w:val="FootnoteText"/>
      </w:pPr>
      <w:r>
        <w:rPr>
          <w:rStyle w:val="FootnoteReference"/>
        </w:rPr>
        <w:footnoteRef/>
      </w:r>
      <w:r>
        <w:t xml:space="preserve"> </w:t>
      </w:r>
      <w:r>
        <w:tab/>
      </w:r>
      <w:hyperlink r:id="rId6" w:history="1">
        <w:r w:rsidRPr="00A63D08">
          <w:rPr>
            <w:rStyle w:val="Hyperlink"/>
          </w:rPr>
          <w:t>Part 1A, Food and Grocery Code of Conduct</w:t>
        </w:r>
      </w:hyperlink>
      <w:r w:rsidR="00707D60">
        <w:rPr>
          <w:rStyle w:val="Hyperlink"/>
        </w:rPr>
        <w:t>.</w:t>
      </w:r>
    </w:p>
  </w:footnote>
  <w:footnote w:id="12">
    <w:p w14:paraId="36CB544E" w14:textId="77777777" w:rsidR="00814074" w:rsidRDefault="00814074" w:rsidP="00814074">
      <w:pPr>
        <w:pStyle w:val="FootnoteText"/>
      </w:pPr>
      <w:r>
        <w:rPr>
          <w:rStyle w:val="FootnoteReference"/>
        </w:rPr>
        <w:footnoteRef/>
      </w:r>
      <w:r>
        <w:t xml:space="preserve"> </w:t>
      </w:r>
      <w:r>
        <w:tab/>
      </w:r>
      <w:r w:rsidRPr="00524140">
        <w:t>A grocery supply agreement is the agreement between a supplier and a retailer or wholesaler for the supply of groceries to a supermarket business.</w:t>
      </w:r>
    </w:p>
  </w:footnote>
  <w:footnote w:id="13">
    <w:p w14:paraId="316DF97F" w14:textId="37927139" w:rsidR="00814074" w:rsidRDefault="00814074" w:rsidP="00814074">
      <w:pPr>
        <w:pStyle w:val="FootnoteText"/>
      </w:pPr>
      <w:r>
        <w:rPr>
          <w:rStyle w:val="FootnoteReference"/>
        </w:rPr>
        <w:footnoteRef/>
      </w:r>
      <w:r>
        <w:t xml:space="preserve"> </w:t>
      </w:r>
      <w:r>
        <w:tab/>
      </w:r>
      <w:hyperlink r:id="rId7" w:history="1">
        <w:r w:rsidRPr="00A63D08">
          <w:rPr>
            <w:rStyle w:val="Hyperlink"/>
          </w:rPr>
          <w:t>Part 2, Food and Grocery Code of Conduct</w:t>
        </w:r>
      </w:hyperlink>
      <w:r w:rsidR="00707D60">
        <w:rPr>
          <w:rStyle w:val="Hyperlink"/>
        </w:rPr>
        <w:t>.</w:t>
      </w:r>
    </w:p>
  </w:footnote>
  <w:footnote w:id="14">
    <w:p w14:paraId="630949B6" w14:textId="1CB5DE35" w:rsidR="00814074" w:rsidRDefault="00814074" w:rsidP="00814074">
      <w:pPr>
        <w:pStyle w:val="FootnoteText"/>
      </w:pPr>
      <w:r>
        <w:rPr>
          <w:rStyle w:val="FootnoteReference"/>
        </w:rPr>
        <w:footnoteRef/>
      </w:r>
      <w:r>
        <w:t xml:space="preserve"> </w:t>
      </w:r>
      <w:r>
        <w:tab/>
      </w:r>
      <w:hyperlink r:id="rId8" w:history="1">
        <w:r w:rsidRPr="00A63D08">
          <w:rPr>
            <w:rStyle w:val="Hyperlink"/>
          </w:rPr>
          <w:t>Part 6, Food and Grocery Code of Conduct</w:t>
        </w:r>
      </w:hyperlink>
      <w:r w:rsidR="00707D60" w:rsidRPr="00707D60">
        <w:rPr>
          <w:rStyle w:val="Hyperlink"/>
          <w:color w:val="auto"/>
        </w:rPr>
        <w:t>.</w:t>
      </w:r>
    </w:p>
  </w:footnote>
  <w:footnote w:id="15">
    <w:p w14:paraId="765DBD61" w14:textId="709B6A5D" w:rsidR="00814074" w:rsidRDefault="00814074" w:rsidP="00814074">
      <w:pPr>
        <w:pStyle w:val="FootnoteText"/>
      </w:pPr>
      <w:r>
        <w:rPr>
          <w:rStyle w:val="FootnoteReference"/>
        </w:rPr>
        <w:footnoteRef/>
      </w:r>
      <w:r>
        <w:t xml:space="preserve"> </w:t>
      </w:r>
      <w:r>
        <w:tab/>
        <w:t>Th</w:t>
      </w:r>
      <w:r w:rsidRPr="00003870">
        <w:t xml:space="preserve">e Food and Grocery Code of Conduct does not apply </w:t>
      </w:r>
      <w:r w:rsidR="00054E63">
        <w:t>where</w:t>
      </w:r>
      <w:r w:rsidRPr="00003870">
        <w:t xml:space="preserve"> it conflicts with the mandatory Horticulture Code of Conduct or Franchising Code of Conduct.</w:t>
      </w:r>
    </w:p>
  </w:footnote>
  <w:footnote w:id="16">
    <w:p w14:paraId="05373285" w14:textId="7CA711FD" w:rsidR="00814074" w:rsidRPr="00F000A5" w:rsidRDefault="00814074" w:rsidP="00814074">
      <w:pPr>
        <w:pStyle w:val="FootnoteText"/>
        <w:rPr>
          <w:color w:val="3A6FAF"/>
        </w:rPr>
      </w:pPr>
      <w:r>
        <w:rPr>
          <w:rStyle w:val="FootnoteReference"/>
        </w:rPr>
        <w:footnoteRef/>
      </w:r>
      <w:r>
        <w:t xml:space="preserve"> </w:t>
      </w:r>
      <w:r>
        <w:tab/>
      </w:r>
      <w:r w:rsidRPr="001D6E2A">
        <w:t>Professor Graeme Samuel AC</w:t>
      </w:r>
      <w:r>
        <w:t xml:space="preserve"> (2018),</w:t>
      </w:r>
      <w:r w:rsidRPr="001A6BCB">
        <w:t xml:space="preserve"> </w:t>
      </w:r>
      <w:hyperlink r:id="rId9" w:history="1">
        <w:r w:rsidRPr="00AA6BD1">
          <w:rPr>
            <w:rStyle w:val="Hyperlink"/>
          </w:rPr>
          <w:t>Independent Review of the Food and Grocery Code of Conduct, Final Report</w:t>
        </w:r>
      </w:hyperlink>
      <w:r>
        <w:rPr>
          <w:rStyle w:val="Hyperlink"/>
        </w:rPr>
        <w:t xml:space="preserve">, </w:t>
      </w:r>
      <w:r>
        <w:t>p</w:t>
      </w:r>
      <w:r w:rsidR="00584650">
        <w:t>.</w:t>
      </w:r>
      <w:r>
        <w:t xml:space="preserve"> 40.</w:t>
      </w:r>
    </w:p>
  </w:footnote>
  <w:footnote w:id="17">
    <w:p w14:paraId="3199CA98" w14:textId="711F2DDA" w:rsidR="00814074" w:rsidRDefault="00814074" w:rsidP="00814074">
      <w:pPr>
        <w:pStyle w:val="FootnoteText"/>
      </w:pPr>
      <w:r>
        <w:rPr>
          <w:rStyle w:val="FootnoteReference"/>
        </w:rPr>
        <w:footnoteRef/>
      </w:r>
      <w:r>
        <w:t xml:space="preserve"> </w:t>
      </w:r>
      <w:r>
        <w:tab/>
        <w:t>N</w:t>
      </w:r>
      <w:r>
        <w:rPr>
          <w:rStyle w:val="Hyperlink"/>
          <w:color w:val="auto"/>
        </w:rPr>
        <w:t xml:space="preserve">Z Ministry of Business, Innovation &amp; Employment, </w:t>
      </w:r>
      <w:hyperlink r:id="rId10" w:history="1">
        <w:r>
          <w:rPr>
            <w:rStyle w:val="Hyperlink"/>
          </w:rPr>
          <w:t>New Grocery code of conduct mandatory for suppliers</w:t>
        </w:r>
      </w:hyperlink>
      <w:r>
        <w:rPr>
          <w:rStyle w:val="Hyperlink"/>
          <w:color w:val="auto"/>
        </w:rPr>
        <w:t xml:space="preserve"> (11 September 2023), accessed 23 January 2024</w:t>
      </w:r>
      <w:r w:rsidR="00EF2F6F">
        <w:rPr>
          <w:rStyle w:val="Hyperlink"/>
          <w:color w:val="auto"/>
        </w:rPr>
        <w:t>.</w:t>
      </w:r>
    </w:p>
  </w:footnote>
  <w:footnote w:id="18">
    <w:p w14:paraId="73FDFE7C" w14:textId="77777777" w:rsidR="00814074" w:rsidRDefault="00814074" w:rsidP="00814074">
      <w:pPr>
        <w:pStyle w:val="FootnoteText"/>
      </w:pPr>
      <w:r>
        <w:rPr>
          <w:rStyle w:val="FootnoteReference"/>
        </w:rPr>
        <w:footnoteRef/>
      </w:r>
      <w:r>
        <w:t xml:space="preserve"> </w:t>
      </w:r>
      <w:r>
        <w:tab/>
      </w:r>
      <w:hyperlink r:id="rId11" w:history="1">
        <w:r>
          <w:rPr>
            <w:rStyle w:val="Hyperlink"/>
          </w:rPr>
          <w:t>Canadian Grocery Code</w:t>
        </w:r>
      </w:hyperlink>
      <w:r>
        <w:rPr>
          <w:rStyle w:val="Hyperlink"/>
          <w:color w:val="auto"/>
        </w:rPr>
        <w:t xml:space="preserve">, accessed 23 January 2024. </w:t>
      </w:r>
    </w:p>
  </w:footnote>
  <w:footnote w:id="19">
    <w:p w14:paraId="7218D002" w14:textId="77777777" w:rsidR="00814074" w:rsidRDefault="00814074" w:rsidP="00814074">
      <w:pPr>
        <w:pStyle w:val="FootnoteText"/>
      </w:pPr>
      <w:r>
        <w:rPr>
          <w:rStyle w:val="FootnoteReference"/>
        </w:rPr>
        <w:footnoteRef/>
      </w:r>
      <w:r>
        <w:t xml:space="preserve"> </w:t>
      </w:r>
      <w:r>
        <w:tab/>
        <w:t>Withdrawal from the code does not remove obligations relating to conduct that occurred while the entity was bound by the code, clause 4(5) of the Code.</w:t>
      </w:r>
    </w:p>
  </w:footnote>
  <w:footnote w:id="20">
    <w:p w14:paraId="3CF0CB65" w14:textId="7C5FCA41" w:rsidR="00814074" w:rsidRDefault="00814074" w:rsidP="00814074">
      <w:pPr>
        <w:pStyle w:val="FootnoteText"/>
        <w:ind w:left="426" w:hanging="426"/>
      </w:pPr>
      <w:r>
        <w:rPr>
          <w:rStyle w:val="FootnoteReference"/>
        </w:rPr>
        <w:footnoteRef/>
      </w:r>
      <w:r>
        <w:t xml:space="preserve"> </w:t>
      </w:r>
      <w:r>
        <w:tab/>
      </w:r>
      <w:r w:rsidRPr="001D6E2A">
        <w:t>Professor Graeme Samuel AC</w:t>
      </w:r>
      <w:r>
        <w:t xml:space="preserve"> (2018),</w:t>
      </w:r>
      <w:r w:rsidRPr="001A6BCB">
        <w:t xml:space="preserve"> </w:t>
      </w:r>
      <w:hyperlink r:id="rId12" w:history="1">
        <w:r>
          <w:rPr>
            <w:rStyle w:val="Hyperlink"/>
          </w:rPr>
          <w:t>Independent Review of the Food and Grocery Code of Conduct</w:t>
        </w:r>
        <w:r w:rsidRPr="00AA6BD1">
          <w:rPr>
            <w:rStyle w:val="Hyperlink"/>
          </w:rPr>
          <w:t>, Final Report</w:t>
        </w:r>
      </w:hyperlink>
      <w:r w:rsidR="00EF2F6F" w:rsidRPr="00EF2F6F">
        <w:rPr>
          <w:rStyle w:val="Hyperlink"/>
          <w:color w:val="auto"/>
        </w:rPr>
        <w:t>.</w:t>
      </w:r>
    </w:p>
  </w:footnote>
  <w:footnote w:id="21">
    <w:p w14:paraId="7CB7C677" w14:textId="42C094DB" w:rsidR="00814074" w:rsidRDefault="00814074" w:rsidP="00814074">
      <w:pPr>
        <w:pStyle w:val="FootnoteText"/>
      </w:pPr>
      <w:r>
        <w:rPr>
          <w:rStyle w:val="FootnoteReference"/>
        </w:rPr>
        <w:footnoteRef/>
      </w:r>
      <w:r>
        <w:t xml:space="preserve">  </w:t>
      </w:r>
      <w:r>
        <w:tab/>
      </w:r>
      <w:r w:rsidRPr="001D6E2A">
        <w:t>Professor Graeme Samuel AC</w:t>
      </w:r>
      <w:r>
        <w:t xml:space="preserve"> (2018),</w:t>
      </w:r>
      <w:r w:rsidRPr="001A6BCB">
        <w:t xml:space="preserve"> </w:t>
      </w:r>
      <w:hyperlink r:id="rId13" w:history="1">
        <w:r w:rsidRPr="00AA6BD1">
          <w:rPr>
            <w:rStyle w:val="Hyperlink"/>
          </w:rPr>
          <w:t>Independent Review of the Food and Grocery Code of Conduct, Final Report</w:t>
        </w:r>
      </w:hyperlink>
      <w:r>
        <w:t>, p</w:t>
      </w:r>
      <w:r w:rsidR="00EF2F6F">
        <w:t>.</w:t>
      </w:r>
      <w:r>
        <w:t xml:space="preserve"> 23.</w:t>
      </w:r>
    </w:p>
  </w:footnote>
  <w:footnote w:id="22">
    <w:p w14:paraId="3145CF33" w14:textId="2F898CC9" w:rsidR="00814074" w:rsidRDefault="00814074" w:rsidP="00814074">
      <w:pPr>
        <w:pStyle w:val="FootnoteText"/>
        <w:ind w:left="426" w:hanging="426"/>
      </w:pPr>
      <w:r>
        <w:rPr>
          <w:rStyle w:val="FootnoteReference"/>
        </w:rPr>
        <w:footnoteRef/>
      </w:r>
      <w:r>
        <w:t xml:space="preserve"> </w:t>
      </w:r>
      <w:r>
        <w:tab/>
      </w:r>
      <w:r w:rsidRPr="001D6E2A">
        <w:t>Professor Graeme Samuel AC</w:t>
      </w:r>
      <w:r>
        <w:t xml:space="preserve"> (2018),</w:t>
      </w:r>
      <w:r w:rsidRPr="001A6BCB">
        <w:t xml:space="preserve"> </w:t>
      </w:r>
      <w:hyperlink r:id="rId14" w:history="1">
        <w:r w:rsidRPr="00AA6BD1">
          <w:rPr>
            <w:rStyle w:val="Hyperlink"/>
          </w:rPr>
          <w:t>Independent Review of the Food and Grocery Code of Conduct, Final Report</w:t>
        </w:r>
      </w:hyperlink>
      <w:r w:rsidRPr="00EF2F6F">
        <w:rPr>
          <w:rStyle w:val="Hyperlink"/>
          <w:color w:val="auto"/>
        </w:rPr>
        <w:t>, p.</w:t>
      </w:r>
      <w:r w:rsidR="00EF2F6F" w:rsidRPr="00EF2F6F">
        <w:rPr>
          <w:rStyle w:val="Hyperlink"/>
          <w:color w:val="auto"/>
        </w:rPr>
        <w:t xml:space="preserve"> </w:t>
      </w:r>
      <w:r w:rsidRPr="00EF2F6F">
        <w:rPr>
          <w:rStyle w:val="Hyperlink"/>
          <w:color w:val="auto"/>
        </w:rPr>
        <w:t>23.</w:t>
      </w:r>
    </w:p>
  </w:footnote>
  <w:footnote w:id="23">
    <w:p w14:paraId="5E2A96B1" w14:textId="1DCB8574" w:rsidR="00814074" w:rsidRDefault="00814074" w:rsidP="00814074">
      <w:pPr>
        <w:pStyle w:val="FootnoteText"/>
        <w:ind w:left="426" w:hanging="426"/>
      </w:pPr>
      <w:r>
        <w:rPr>
          <w:rStyle w:val="FootnoteReference"/>
        </w:rPr>
        <w:footnoteRef/>
      </w:r>
      <w:r>
        <w:t xml:space="preserve"> </w:t>
      </w:r>
      <w:r>
        <w:tab/>
        <w:t xml:space="preserve">Professor Rod Sims, </w:t>
      </w:r>
      <w:hyperlink r:id="rId15" w:history="1">
        <w:r w:rsidRPr="00C30E8E">
          <w:rPr>
            <w:rStyle w:val="Hyperlink"/>
          </w:rPr>
          <w:t>Opinion Piece</w:t>
        </w:r>
      </w:hyperlink>
      <w:r>
        <w:t>, Sydney Morning Herald</w:t>
      </w:r>
      <w:r w:rsidR="00E10B58">
        <w:t>,</w:t>
      </w:r>
      <w:r>
        <w:t xml:space="preserve"> 12 January 2024.</w:t>
      </w:r>
    </w:p>
  </w:footnote>
  <w:footnote w:id="24">
    <w:p w14:paraId="22E3E2DD" w14:textId="696E6F08" w:rsidR="00814074" w:rsidRDefault="00814074" w:rsidP="00814074">
      <w:pPr>
        <w:pStyle w:val="FootnoteText"/>
        <w:ind w:left="426" w:hanging="426"/>
      </w:pPr>
      <w:r>
        <w:rPr>
          <w:rStyle w:val="FootnoteReference"/>
        </w:rPr>
        <w:footnoteRef/>
      </w:r>
      <w:r>
        <w:t xml:space="preserve"> </w:t>
      </w:r>
      <w:r>
        <w:tab/>
      </w:r>
      <w:r w:rsidRPr="000F709D">
        <w:t>Lauren Evans</w:t>
      </w:r>
      <w:r>
        <w:t xml:space="preserve">, Sky News, </w:t>
      </w:r>
      <w:hyperlink r:id="rId16" w:history="1">
        <w:r w:rsidRPr="00216CE4">
          <w:rPr>
            <w:rStyle w:val="Hyperlink"/>
          </w:rPr>
          <w:t>Former ACCC chairman Allan Fels declares supermarket review led by Craig Emerson a 'small step in the right direction'</w:t>
        </w:r>
        <w:r w:rsidR="00E10B58">
          <w:rPr>
            <w:rStyle w:val="Hyperlink"/>
          </w:rPr>
          <w:t>,</w:t>
        </w:r>
        <w:r w:rsidR="00E10B58" w:rsidRPr="00E10B58">
          <w:t xml:space="preserve"> </w:t>
        </w:r>
        <w:r w:rsidR="00E10B58" w:rsidRPr="00CE2812">
          <w:t>January 11 2024</w:t>
        </w:r>
        <w:r w:rsidR="006B5A07" w:rsidRPr="006B5A07">
          <w:rPr>
            <w:rStyle w:val="Hyperlink"/>
            <w:color w:val="auto"/>
          </w:rPr>
          <w:t>.</w:t>
        </w:r>
        <w:r w:rsidRPr="006B5A07">
          <w:rPr>
            <w:rStyle w:val="Hyperlink"/>
            <w:color w:val="auto"/>
          </w:rPr>
          <w:t xml:space="preserve"> </w:t>
        </w:r>
      </w:hyperlink>
    </w:p>
  </w:footnote>
  <w:footnote w:id="25">
    <w:p w14:paraId="1B82F49B" w14:textId="0AF33547" w:rsidR="00814074" w:rsidRDefault="00814074" w:rsidP="00814074">
      <w:pPr>
        <w:pStyle w:val="FootnoteText"/>
      </w:pPr>
      <w:r>
        <w:rPr>
          <w:rStyle w:val="FootnoteReference"/>
        </w:rPr>
        <w:footnoteRef/>
      </w:r>
      <w:r>
        <w:t xml:space="preserve"> </w:t>
      </w:r>
      <w:r>
        <w:tab/>
        <w:t>Code Arbiters are able to provide up to $5 million in compensation per dispute</w:t>
      </w:r>
      <w:r w:rsidR="001F69B1">
        <w:t>,</w:t>
      </w:r>
      <w:r>
        <w:t xml:space="preserve"> clause 36 of the Code.</w:t>
      </w:r>
    </w:p>
  </w:footnote>
  <w:footnote w:id="26">
    <w:p w14:paraId="09EE9A41" w14:textId="77777777" w:rsidR="00814074" w:rsidRDefault="00814074" w:rsidP="00814074">
      <w:pPr>
        <w:pStyle w:val="FootnoteText"/>
        <w:ind w:left="426" w:hanging="426"/>
      </w:pPr>
      <w:r>
        <w:rPr>
          <w:rStyle w:val="FootnoteReference"/>
        </w:rPr>
        <w:footnoteRef/>
      </w:r>
      <w:r>
        <w:t xml:space="preserve"> </w:t>
      </w:r>
      <w:r>
        <w:tab/>
        <w:t xml:space="preserve">See, for example, Clause 43(4) of the </w:t>
      </w:r>
      <w:r w:rsidRPr="00F57865">
        <w:rPr>
          <w:i/>
          <w:iCs/>
        </w:rPr>
        <w:t>Competition and Consumer (Industry Codes-Dairy) Regulations 2019</w:t>
      </w:r>
      <w:r>
        <w:t>.</w:t>
      </w:r>
    </w:p>
  </w:footnote>
  <w:footnote w:id="27">
    <w:p w14:paraId="21A06F14" w14:textId="15E9168D" w:rsidR="00814074" w:rsidRDefault="00814074" w:rsidP="00814074">
      <w:pPr>
        <w:pStyle w:val="FootnoteText"/>
        <w:ind w:left="426" w:hanging="426"/>
      </w:pPr>
      <w:r>
        <w:rPr>
          <w:rStyle w:val="FootnoteReference"/>
        </w:rPr>
        <w:footnoteRef/>
      </w:r>
      <w:r>
        <w:t xml:space="preserve"> </w:t>
      </w:r>
      <w:r>
        <w:tab/>
        <w:t xml:space="preserve">ACCC (2023), </w:t>
      </w:r>
      <w:hyperlink r:id="rId17"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3</w:t>
      </w:r>
      <w:r>
        <w:rPr>
          <w:rStyle w:val="Hyperlink"/>
          <w:color w:val="auto"/>
        </w:rPr>
        <w:t>.</w:t>
      </w:r>
    </w:p>
  </w:footnote>
  <w:footnote w:id="28">
    <w:p w14:paraId="22D22656" w14:textId="19E258EC" w:rsidR="00814074" w:rsidRDefault="00814074" w:rsidP="00814074">
      <w:pPr>
        <w:pStyle w:val="FootnoteText"/>
        <w:ind w:left="426" w:hanging="426"/>
      </w:pPr>
      <w:r>
        <w:rPr>
          <w:rStyle w:val="FootnoteReference"/>
        </w:rPr>
        <w:footnoteRef/>
      </w:r>
      <w:r>
        <w:t xml:space="preserve"> </w:t>
      </w:r>
      <w:r>
        <w:tab/>
        <w:t xml:space="preserve">ACCC (2023), </w:t>
      </w:r>
      <w:hyperlink r:id="rId18" w:history="1">
        <w:r w:rsidRPr="00405020">
          <w:rPr>
            <w:rStyle w:val="Hyperlink"/>
          </w:rPr>
          <w:t>ACCC submission to consultation, Review of the Dispute Resolution Provisions in the Food and Grocery Code</w:t>
        </w:r>
      </w:hyperlink>
      <w: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5.</w:t>
      </w:r>
    </w:p>
  </w:footnote>
  <w:footnote w:id="29">
    <w:p w14:paraId="73158370" w14:textId="76A1D929" w:rsidR="00814074" w:rsidRDefault="00814074" w:rsidP="00814074">
      <w:pPr>
        <w:pStyle w:val="FootnoteText"/>
        <w:ind w:left="426" w:hanging="426"/>
      </w:pPr>
      <w:r>
        <w:rPr>
          <w:rStyle w:val="FootnoteReference"/>
        </w:rPr>
        <w:footnoteRef/>
      </w:r>
      <w:r>
        <w:t xml:space="preserve"> </w:t>
      </w:r>
      <w:r>
        <w:tab/>
        <w:t xml:space="preserve">ACCC (2023), </w:t>
      </w:r>
      <w:hyperlink r:id="rId19" w:history="1">
        <w:r w:rsidRPr="00405020">
          <w:rPr>
            <w:rStyle w:val="Hyperlink"/>
          </w:rPr>
          <w:t>ACCC submission to consultation, Review of the Dispute Resolution Provisions in the Food and Grocery Code</w:t>
        </w:r>
      </w:hyperlink>
      <w: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8.</w:t>
      </w:r>
    </w:p>
  </w:footnote>
  <w:footnote w:id="30">
    <w:p w14:paraId="38CB5A43" w14:textId="77777777" w:rsidR="00EF2F6F" w:rsidRDefault="00EF2F6F" w:rsidP="00EF2F6F">
      <w:pPr>
        <w:pStyle w:val="FootnoteText"/>
      </w:pPr>
      <w:r>
        <w:rPr>
          <w:rStyle w:val="FootnoteReference"/>
        </w:rPr>
        <w:footnoteRef/>
      </w:r>
      <w:r>
        <w:t xml:space="preserve">   </w:t>
      </w:r>
      <w:r>
        <w:tab/>
        <w:t xml:space="preserve">ACCC (2023), </w:t>
      </w:r>
      <w:hyperlink r:id="rId20"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Pr>
          <w:rStyle w:val="Hyperlink"/>
          <w:color w:val="auto"/>
        </w:rPr>
        <w:t>.</w:t>
      </w:r>
      <w:r w:rsidRPr="00C45FCF">
        <w:rPr>
          <w:rStyle w:val="Hyperlink"/>
          <w:color w:val="auto"/>
        </w:rPr>
        <w:t xml:space="preserve"> </w:t>
      </w:r>
      <w:r>
        <w:rPr>
          <w:rStyle w:val="Hyperlink"/>
          <w:color w:val="auto"/>
        </w:rPr>
        <w:t>2.</w:t>
      </w:r>
      <w:r>
        <w:t xml:space="preserve"> </w:t>
      </w:r>
    </w:p>
  </w:footnote>
  <w:footnote w:id="31">
    <w:p w14:paraId="32781BC9" w14:textId="099AF88C" w:rsidR="00EF2F6F" w:rsidRDefault="00EF2F6F" w:rsidP="00EF2F6F">
      <w:pPr>
        <w:pStyle w:val="FootnoteText"/>
      </w:pPr>
      <w:r>
        <w:rPr>
          <w:rStyle w:val="FootnoteReference"/>
        </w:rPr>
        <w:footnoteRef/>
      </w:r>
      <w:r>
        <w:t xml:space="preserve"> </w:t>
      </w:r>
      <w:r>
        <w:tab/>
        <w:t xml:space="preserve">ACCC (2023), </w:t>
      </w:r>
      <w:hyperlink r:id="rId21"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5.</w:t>
      </w:r>
    </w:p>
  </w:footnote>
  <w:footnote w:id="32">
    <w:p w14:paraId="570A1083" w14:textId="04B5C909" w:rsidR="00814074" w:rsidRDefault="00814074" w:rsidP="00814074">
      <w:pPr>
        <w:pStyle w:val="FootnoteText"/>
      </w:pPr>
      <w:r>
        <w:rPr>
          <w:rStyle w:val="FootnoteReference"/>
        </w:rPr>
        <w:footnoteRef/>
      </w:r>
      <w:r>
        <w:t xml:space="preserve"> </w:t>
      </w:r>
      <w:r>
        <w:tab/>
        <w:t xml:space="preserve">ACCC (2023), </w:t>
      </w:r>
      <w:hyperlink r:id="rId22"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5.</w:t>
      </w:r>
    </w:p>
  </w:footnote>
  <w:footnote w:id="33">
    <w:p w14:paraId="607962FE" w14:textId="7EA1C804" w:rsidR="00057712" w:rsidRDefault="00057712">
      <w:pPr>
        <w:pStyle w:val="FootnoteText"/>
      </w:pPr>
      <w:r>
        <w:rPr>
          <w:rStyle w:val="FootnoteReference"/>
        </w:rPr>
        <w:footnoteRef/>
      </w:r>
      <w:r>
        <w:t xml:space="preserve"> </w:t>
      </w:r>
      <w:r>
        <w:tab/>
      </w:r>
      <w:r w:rsidRPr="001D6E2A">
        <w:t>Professor Graeme Samuel AC</w:t>
      </w:r>
      <w:r>
        <w:t xml:space="preserve"> (2018),</w:t>
      </w:r>
      <w:r w:rsidRPr="001A6BCB">
        <w:t xml:space="preserve"> </w:t>
      </w:r>
      <w:hyperlink r:id="rId23" w:history="1">
        <w:r w:rsidRPr="00AA6BD1">
          <w:rPr>
            <w:rStyle w:val="Hyperlink"/>
          </w:rPr>
          <w:t>Independent Review of the Food and Grocery Code of Conduct, Final Report</w:t>
        </w:r>
      </w:hyperlink>
      <w:r>
        <w:t>, p</w:t>
      </w:r>
      <w:r w:rsidR="006B5A07">
        <w:t>.</w:t>
      </w:r>
      <w:r>
        <w:t xml:space="preserve"> 28.</w:t>
      </w:r>
    </w:p>
  </w:footnote>
  <w:footnote w:id="34">
    <w:p w14:paraId="09ACA046" w14:textId="138DA99B" w:rsidR="00057712" w:rsidRDefault="00057712">
      <w:pPr>
        <w:pStyle w:val="FootnoteText"/>
      </w:pPr>
      <w:r>
        <w:rPr>
          <w:rStyle w:val="FootnoteReference"/>
        </w:rPr>
        <w:footnoteRef/>
      </w:r>
      <w:r>
        <w:t xml:space="preserve">  </w:t>
      </w:r>
      <w:r>
        <w:tab/>
      </w:r>
      <w:r w:rsidRPr="001D6E2A">
        <w:t>Professor Graeme Samuel AC</w:t>
      </w:r>
      <w:r>
        <w:t xml:space="preserve"> (2018),</w:t>
      </w:r>
      <w:r w:rsidRPr="001A6BCB">
        <w:t xml:space="preserve"> </w:t>
      </w:r>
      <w:hyperlink r:id="rId24" w:history="1">
        <w:r w:rsidRPr="00AA6BD1">
          <w:rPr>
            <w:rStyle w:val="Hyperlink"/>
          </w:rPr>
          <w:t>Independent Review of the Food and Grocery Code of Conduct, Final Report</w:t>
        </w:r>
      </w:hyperlink>
      <w:r>
        <w:t>, p</w:t>
      </w:r>
      <w:r w:rsidR="006B5A07">
        <w:t>.</w:t>
      </w:r>
      <w:r>
        <w:t xml:space="preserve"> 37.</w:t>
      </w:r>
    </w:p>
  </w:footnote>
  <w:footnote w:id="35">
    <w:p w14:paraId="38286654" w14:textId="35187C05" w:rsidR="00814074" w:rsidRDefault="00814074" w:rsidP="006B5A07">
      <w:pPr>
        <w:pStyle w:val="FootnoteText"/>
      </w:pPr>
      <w:r>
        <w:rPr>
          <w:rStyle w:val="FootnoteReference"/>
        </w:rPr>
        <w:footnoteRef/>
      </w:r>
      <w:r>
        <w:t xml:space="preserve"> </w:t>
      </w:r>
      <w:r w:rsidR="006B5A07">
        <w:tab/>
      </w:r>
      <w:r>
        <w:t>T</w:t>
      </w:r>
      <w:r w:rsidRPr="00FA0557">
        <w:t>hese records are only available from the 2020-21FY onwards since the</w:t>
      </w:r>
      <w:r>
        <w:t xml:space="preserve"> current</w:t>
      </w:r>
      <w:r w:rsidRPr="00FA0557">
        <w:t xml:space="preserve"> dispute resolution provisions only came into effect in 2020, following Graeme Samuel's review in 2018 which </w:t>
      </w:r>
      <w:r>
        <w:t xml:space="preserve">recommended </w:t>
      </w:r>
      <w:r w:rsidRPr="00FA0557">
        <w:t>legislat</w:t>
      </w:r>
      <w:r>
        <w:t>ion to implement</w:t>
      </w:r>
      <w:r w:rsidRPr="00FA0557">
        <w:t xml:space="preserve"> the process for Code Arbiters to receive and report on complaints.</w:t>
      </w:r>
    </w:p>
  </w:footnote>
  <w:footnote w:id="36">
    <w:p w14:paraId="00EA7E35" w14:textId="63F3058C" w:rsidR="00814074" w:rsidRDefault="00814074" w:rsidP="006B5A07">
      <w:pPr>
        <w:pStyle w:val="FootnoteText"/>
      </w:pPr>
      <w:r>
        <w:rPr>
          <w:rStyle w:val="FootnoteReference"/>
        </w:rPr>
        <w:footnoteRef/>
      </w:r>
      <w:r>
        <w:t xml:space="preserve"> </w:t>
      </w:r>
      <w:r w:rsidR="006B5A07">
        <w:tab/>
      </w:r>
      <w:r w:rsidRPr="00BA4486">
        <w:t>Helen McKenzie</w:t>
      </w:r>
      <w:r>
        <w:t xml:space="preserve"> (2023), </w:t>
      </w:r>
      <w:hyperlink r:id="rId25" w:history="1">
        <w:r w:rsidRPr="00BA4486">
          <w:rPr>
            <w:rStyle w:val="Hyperlink"/>
          </w:rPr>
          <w:t>Woolworths Code Arbiter Report</w:t>
        </w:r>
      </w:hyperlink>
      <w:r w:rsidR="006B5A07" w:rsidRPr="006B5A07">
        <w:rPr>
          <w:rStyle w:val="Hyperlink"/>
          <w:color w:val="auto"/>
        </w:rPr>
        <w:t>.</w:t>
      </w:r>
    </w:p>
  </w:footnote>
  <w:footnote w:id="37">
    <w:p w14:paraId="3EF87AFD" w14:textId="2AA95520" w:rsidR="00814074" w:rsidRDefault="00814074" w:rsidP="006B5A07">
      <w:pPr>
        <w:pStyle w:val="FootnoteText"/>
        <w:rPr>
          <w:highlight w:val="yellow"/>
        </w:rPr>
      </w:pPr>
      <w:r>
        <w:rPr>
          <w:rStyle w:val="FootnoteReference"/>
        </w:rPr>
        <w:footnoteRef/>
      </w:r>
      <w:r>
        <w:t xml:space="preserve"> </w:t>
      </w:r>
      <w:r w:rsidR="006B5A07">
        <w:tab/>
      </w:r>
      <w:r w:rsidRPr="002B4F6D">
        <w:t>The Hon Jeff Kennett AC</w:t>
      </w:r>
      <w:r>
        <w:t xml:space="preserve"> (2023), </w:t>
      </w:r>
      <w:hyperlink r:id="rId26" w:history="1">
        <w:r w:rsidRPr="002B4F6D">
          <w:rPr>
            <w:rStyle w:val="Hyperlink"/>
          </w:rPr>
          <w:t>Coles Code Arbiter Report</w:t>
        </w:r>
      </w:hyperlink>
      <w:r w:rsidR="006B5A07" w:rsidRPr="006B5A07">
        <w:rPr>
          <w:color w:val="auto"/>
        </w:rPr>
        <w:t>.</w:t>
      </w:r>
    </w:p>
  </w:footnote>
  <w:footnote w:id="38">
    <w:p w14:paraId="5D931D8B" w14:textId="7D1736CD" w:rsidR="00814074" w:rsidRDefault="00814074" w:rsidP="006B5A07">
      <w:pPr>
        <w:pStyle w:val="FootnoteText"/>
        <w:rPr>
          <w:highlight w:val="yellow"/>
        </w:rPr>
      </w:pPr>
      <w:r>
        <w:rPr>
          <w:rStyle w:val="FootnoteReference"/>
        </w:rPr>
        <w:footnoteRef/>
      </w:r>
      <w:r>
        <w:t xml:space="preserve"> </w:t>
      </w:r>
      <w:r w:rsidR="006B5A07">
        <w:tab/>
      </w:r>
      <w:r w:rsidRPr="00CC2BFF">
        <w:t>Martin Shakinovsky</w:t>
      </w:r>
      <w:r>
        <w:t xml:space="preserve"> (2023), </w:t>
      </w:r>
      <w:hyperlink r:id="rId27" w:history="1">
        <w:r w:rsidRPr="00C76ECA">
          <w:rPr>
            <w:rStyle w:val="Hyperlink"/>
          </w:rPr>
          <w:t>Metcash Code Arbiter Report</w:t>
        </w:r>
      </w:hyperlink>
      <w:r w:rsidR="006B5A07" w:rsidRPr="006B5A07">
        <w:rPr>
          <w:rStyle w:val="Hyperlink"/>
          <w:color w:val="auto"/>
        </w:rPr>
        <w:t>.</w:t>
      </w:r>
      <w:r w:rsidRPr="006B5A07">
        <w:rPr>
          <w:color w:val="auto"/>
        </w:rPr>
        <w:t xml:space="preserve"> </w:t>
      </w:r>
    </w:p>
  </w:footnote>
  <w:footnote w:id="39">
    <w:p w14:paraId="6FE1366F" w14:textId="7D656205" w:rsidR="00814074" w:rsidRDefault="00814074" w:rsidP="006B5A07">
      <w:pPr>
        <w:pStyle w:val="FootnoteText"/>
      </w:pPr>
      <w:r>
        <w:rPr>
          <w:rStyle w:val="FootnoteReference"/>
        </w:rPr>
        <w:footnoteRef/>
      </w:r>
      <w:r>
        <w:t xml:space="preserve"> </w:t>
      </w:r>
      <w:r w:rsidR="006B5A07">
        <w:tab/>
      </w:r>
      <w:r w:rsidRPr="00BF6FF8">
        <w:t>Bronwyn Gallacher</w:t>
      </w:r>
      <w:r>
        <w:t xml:space="preserve"> (2023), </w:t>
      </w:r>
      <w:hyperlink r:id="rId28" w:history="1">
        <w:r w:rsidRPr="00BF6FF8">
          <w:rPr>
            <w:rStyle w:val="Hyperlink"/>
          </w:rPr>
          <w:t>Aldi Code Arbiter Report</w:t>
        </w:r>
      </w:hyperlink>
      <w:r w:rsidR="006B5A07" w:rsidRPr="006B5A07">
        <w:rPr>
          <w:rStyle w:val="Hyperlink"/>
          <w:color w:val="auto"/>
        </w:rPr>
        <w:t>.</w:t>
      </w:r>
    </w:p>
  </w:footnote>
  <w:footnote w:id="40">
    <w:p w14:paraId="3F6086DC" w14:textId="7512B96A" w:rsidR="00814074" w:rsidRDefault="00814074" w:rsidP="00814074">
      <w:pPr>
        <w:pStyle w:val="FootnoteText"/>
      </w:pPr>
      <w:r>
        <w:rPr>
          <w:rStyle w:val="FootnoteReference"/>
        </w:rPr>
        <w:footnoteRef/>
      </w:r>
      <w:r>
        <w:t xml:space="preserve">   </w:t>
      </w:r>
      <w:r w:rsidR="006B5A07">
        <w:tab/>
      </w:r>
      <w:r>
        <w:t xml:space="preserve">ACCC (2023), </w:t>
      </w:r>
      <w:hyperlink r:id="rId29"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3.</w:t>
      </w:r>
    </w:p>
  </w:footnote>
  <w:footnote w:id="41">
    <w:p w14:paraId="75227D96" w14:textId="60462226" w:rsidR="00814074" w:rsidRDefault="00814074" w:rsidP="00814074">
      <w:pPr>
        <w:pStyle w:val="FootnoteText"/>
      </w:pPr>
      <w:r>
        <w:rPr>
          <w:rStyle w:val="FootnoteReference"/>
        </w:rPr>
        <w:footnoteRef/>
      </w:r>
      <w:r>
        <w:t xml:space="preserve"> </w:t>
      </w:r>
      <w:r w:rsidR="006B5A07">
        <w:tab/>
      </w:r>
      <w:r>
        <w:t xml:space="preserve">ACCC (2023), </w:t>
      </w:r>
      <w:hyperlink r:id="rId30"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3.</w:t>
      </w:r>
    </w:p>
  </w:footnote>
  <w:footnote w:id="42">
    <w:p w14:paraId="4738D143" w14:textId="41107515" w:rsidR="00814074" w:rsidRDefault="00814074" w:rsidP="00814074">
      <w:pPr>
        <w:pStyle w:val="FootnoteText"/>
      </w:pPr>
      <w:r>
        <w:rPr>
          <w:rStyle w:val="FootnoteReference"/>
        </w:rPr>
        <w:footnoteRef/>
      </w:r>
      <w:r>
        <w:t xml:space="preserve"> </w:t>
      </w:r>
      <w:r>
        <w:tab/>
        <w:t xml:space="preserve">ACCC (2023), </w:t>
      </w:r>
      <w:hyperlink r:id="rId31"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3</w:t>
      </w:r>
      <w:r w:rsidR="00683C43">
        <w:rPr>
          <w:rStyle w:val="Hyperlink"/>
          <w:color w:val="auto"/>
        </w:rPr>
        <w:t>.</w:t>
      </w:r>
    </w:p>
  </w:footnote>
  <w:footnote w:id="43">
    <w:p w14:paraId="31CF6C2F" w14:textId="784EA3C6" w:rsidR="006776EB" w:rsidRDefault="006776EB" w:rsidP="006776EB">
      <w:pPr>
        <w:pStyle w:val="FootnoteText"/>
      </w:pPr>
      <w:r>
        <w:rPr>
          <w:rStyle w:val="FootnoteReference"/>
        </w:rPr>
        <w:footnoteRef/>
      </w:r>
      <w:r>
        <w:t xml:space="preserve"> </w:t>
      </w:r>
      <w:r>
        <w:tab/>
        <w:t xml:space="preserve">ACCC (2023), </w:t>
      </w:r>
      <w:hyperlink r:id="rId32" w:history="1">
        <w:r w:rsidRPr="00405020">
          <w:rPr>
            <w:rStyle w:val="Hyperlink"/>
          </w:rPr>
          <w:t>ACCC submission to consultation, Review of the Dispute Resolution Provisions in the Food and Grocery Code</w:t>
        </w:r>
      </w:hyperlink>
      <w:r>
        <w:rPr>
          <w:rStyle w:val="Hyperlink"/>
        </w:rP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3.</w:t>
      </w:r>
    </w:p>
  </w:footnote>
  <w:footnote w:id="44">
    <w:p w14:paraId="69C0D539" w14:textId="592F1905" w:rsidR="00814074" w:rsidRDefault="00814074" w:rsidP="00814074">
      <w:pPr>
        <w:pStyle w:val="FootnoteText"/>
      </w:pPr>
      <w:r>
        <w:rPr>
          <w:rStyle w:val="FootnoteReference"/>
        </w:rPr>
        <w:footnoteRef/>
      </w:r>
      <w:r>
        <w:t xml:space="preserve"> </w:t>
      </w:r>
      <w:r>
        <w:tab/>
        <w:t xml:space="preserve">ACCC (2023), </w:t>
      </w:r>
      <w:hyperlink r:id="rId33" w:history="1">
        <w:r w:rsidRPr="00405020">
          <w:rPr>
            <w:rStyle w:val="Hyperlink"/>
          </w:rPr>
          <w:t>ACCC submission to consultation, Review of the Dispute Resolution Provisions in the Food and Grocery Code</w:t>
        </w:r>
      </w:hyperlink>
      <w:r w:rsidR="00683C43">
        <w:rPr>
          <w:rStyle w:val="Hyperlink"/>
        </w:rPr>
        <w:t xml:space="preserve">, </w:t>
      </w:r>
      <w:r w:rsidR="00683C43" w:rsidRPr="00C45FCF">
        <w:rPr>
          <w:rStyle w:val="Hyperlink"/>
          <w:color w:val="auto"/>
        </w:rPr>
        <w:t>p</w:t>
      </w:r>
      <w:r w:rsidR="006B5A07">
        <w:rPr>
          <w:rStyle w:val="Hyperlink"/>
          <w:color w:val="auto"/>
        </w:rPr>
        <w:t>.</w:t>
      </w:r>
      <w:r w:rsidR="00683C43" w:rsidRPr="00C45FCF">
        <w:rPr>
          <w:rStyle w:val="Hyperlink"/>
          <w:color w:val="auto"/>
        </w:rPr>
        <w:t xml:space="preserve"> </w:t>
      </w:r>
      <w:r w:rsidR="00B16F41">
        <w:rPr>
          <w:rStyle w:val="Hyperlink"/>
          <w:color w:val="auto"/>
        </w:rPr>
        <w:t>1</w:t>
      </w:r>
      <w:r w:rsidR="00683C43">
        <w:rPr>
          <w:rStyle w:val="Hyperlink"/>
          <w:color w:val="auto"/>
        </w:rPr>
        <w:t>.</w:t>
      </w:r>
    </w:p>
  </w:footnote>
  <w:footnote w:id="45">
    <w:p w14:paraId="25C0DC67" w14:textId="7EF9030A" w:rsidR="00814074" w:rsidRDefault="00814074" w:rsidP="00814074">
      <w:pPr>
        <w:pStyle w:val="FootnoteText"/>
      </w:pPr>
      <w:r>
        <w:rPr>
          <w:rStyle w:val="FootnoteReference"/>
        </w:rPr>
        <w:footnoteRef/>
      </w:r>
      <w:r>
        <w:t xml:space="preserve"> </w:t>
      </w:r>
      <w:r>
        <w:tab/>
        <w:t xml:space="preserve">ACCC (2023), </w:t>
      </w:r>
      <w:hyperlink r:id="rId34" w:history="1">
        <w:r w:rsidRPr="00405020">
          <w:rPr>
            <w:rStyle w:val="Hyperlink"/>
          </w:rPr>
          <w:t>ACCC submission to consultation, Review of the Dispute Resolution Provisions in the Food and Grocery Code</w:t>
        </w:r>
      </w:hyperlink>
      <w:r w:rsidR="00683C43">
        <w:rPr>
          <w:rStyle w:val="Hyperlink"/>
        </w:rPr>
        <w:t>,</w:t>
      </w:r>
      <w:r w:rsidR="00683C43" w:rsidRPr="00683C43">
        <w:rPr>
          <w:rStyle w:val="Hyperlink"/>
          <w:color w:val="auto"/>
        </w:rPr>
        <w:t xml:space="preserve"> </w:t>
      </w:r>
      <w:r w:rsidR="00683C43" w:rsidRPr="00C45FCF">
        <w:rPr>
          <w:rStyle w:val="Hyperlink"/>
          <w:color w:val="auto"/>
        </w:rPr>
        <w:t>p</w:t>
      </w:r>
      <w:r w:rsidR="006B5A07">
        <w:rPr>
          <w:rStyle w:val="Hyperlink"/>
          <w:color w:val="auto"/>
        </w:rPr>
        <w:t>.</w:t>
      </w:r>
      <w:r w:rsidR="00683C43" w:rsidRPr="00C45FCF">
        <w:rPr>
          <w:rStyle w:val="Hyperlink"/>
          <w:color w:val="auto"/>
        </w:rPr>
        <w:t xml:space="preserve"> </w:t>
      </w:r>
      <w:r w:rsidR="004A0B47">
        <w:rPr>
          <w:rStyle w:val="Hyperlink"/>
          <w:color w:val="auto"/>
        </w:rPr>
        <w:t>1</w:t>
      </w:r>
      <w:r w:rsidR="00683C43">
        <w:rPr>
          <w:rStyle w:val="Hyperlink"/>
          <w:color w:val="auto"/>
        </w:rPr>
        <w:t>.</w:t>
      </w:r>
    </w:p>
  </w:footnote>
  <w:footnote w:id="46">
    <w:p w14:paraId="72D41616" w14:textId="04ED029B" w:rsidR="00814074" w:rsidRDefault="00814074" w:rsidP="00814074">
      <w:pPr>
        <w:pStyle w:val="FootnoteText"/>
        <w:ind w:left="426" w:hanging="426"/>
      </w:pPr>
      <w:r>
        <w:rPr>
          <w:rStyle w:val="FootnoteReference"/>
        </w:rPr>
        <w:footnoteRef/>
      </w:r>
      <w:r>
        <w:t xml:space="preserve"> </w:t>
      </w:r>
      <w:r>
        <w:tab/>
      </w:r>
      <w:hyperlink r:id="rId35" w:history="1">
        <w:r w:rsidRPr="007A6908">
          <w:rPr>
            <w:rStyle w:val="Hyperlink"/>
            <w:i/>
            <w:iCs/>
          </w:rPr>
          <w:t>Competition and Consumer Act 2010</w:t>
        </w:r>
        <w:r w:rsidRPr="007A6908">
          <w:rPr>
            <w:rStyle w:val="Hyperlink"/>
          </w:rPr>
          <w:t>, Section 51ADA</w:t>
        </w:r>
      </w:hyperlink>
      <w:r w:rsidR="006B5A07">
        <w:rPr>
          <w:rStyle w:val="Hyperlink"/>
        </w:rPr>
        <w:t>.</w:t>
      </w:r>
    </w:p>
  </w:footnote>
  <w:footnote w:id="47">
    <w:p w14:paraId="4D602C73" w14:textId="50231B44" w:rsidR="00814074" w:rsidRDefault="00814074" w:rsidP="00814074">
      <w:pPr>
        <w:pStyle w:val="FootnoteText"/>
        <w:ind w:left="426" w:hanging="426"/>
      </w:pPr>
      <w:r>
        <w:rPr>
          <w:rStyle w:val="FootnoteReference"/>
        </w:rPr>
        <w:footnoteRef/>
      </w:r>
      <w:r>
        <w:t xml:space="preserve"> </w:t>
      </w:r>
      <w:r>
        <w:tab/>
      </w:r>
      <w:hyperlink r:id="rId36" w:history="1">
        <w:r w:rsidRPr="007A6908">
          <w:rPr>
            <w:rStyle w:val="Hyperlink"/>
            <w:i/>
            <w:iCs/>
          </w:rPr>
          <w:t>Competition and Consumer Act 2010</w:t>
        </w:r>
        <w:r w:rsidRPr="007A6908">
          <w:rPr>
            <w:rStyle w:val="Hyperlink"/>
          </w:rPr>
          <w:t>, Section 80</w:t>
        </w:r>
      </w:hyperlink>
      <w:r w:rsidR="006B5A07">
        <w:rPr>
          <w:rStyle w:val="Hyperlink"/>
        </w:rPr>
        <w:t>.</w:t>
      </w:r>
    </w:p>
  </w:footnote>
  <w:footnote w:id="48">
    <w:p w14:paraId="7D960553" w14:textId="25E724B5" w:rsidR="00814074" w:rsidRDefault="00814074" w:rsidP="00814074">
      <w:pPr>
        <w:pStyle w:val="FootnoteText"/>
        <w:ind w:left="426" w:hanging="426"/>
      </w:pPr>
      <w:r>
        <w:rPr>
          <w:rStyle w:val="FootnoteReference"/>
        </w:rPr>
        <w:footnoteRef/>
      </w:r>
      <w:r>
        <w:t xml:space="preserve"> </w:t>
      </w:r>
      <w:r>
        <w:tab/>
      </w:r>
      <w:hyperlink r:id="rId37" w:history="1">
        <w:r w:rsidRPr="007A6908">
          <w:rPr>
            <w:rStyle w:val="Hyperlink"/>
            <w:i/>
            <w:iCs/>
          </w:rPr>
          <w:t>Competition and Consumer Act 2010</w:t>
        </w:r>
        <w:r w:rsidRPr="007A6908">
          <w:rPr>
            <w:rStyle w:val="Hyperlink"/>
          </w:rPr>
          <w:t>, Section 51ADB</w:t>
        </w:r>
      </w:hyperlink>
      <w:r w:rsidR="006B5A07">
        <w:rPr>
          <w:rStyle w:val="Hyperlink"/>
        </w:rPr>
        <w:t>.</w:t>
      </w:r>
    </w:p>
  </w:footnote>
  <w:footnote w:id="49">
    <w:p w14:paraId="7F574147" w14:textId="0E99E635" w:rsidR="00814074" w:rsidRDefault="00814074" w:rsidP="00814074">
      <w:pPr>
        <w:pStyle w:val="FootnoteText"/>
      </w:pPr>
      <w:r>
        <w:rPr>
          <w:rStyle w:val="FootnoteReference"/>
        </w:rPr>
        <w:footnoteRef/>
      </w:r>
      <w:r>
        <w:t xml:space="preserve"> </w:t>
      </w:r>
      <w:r>
        <w:tab/>
        <w:t xml:space="preserve">ACCC (2023), </w:t>
      </w:r>
      <w:hyperlink r:id="rId38" w:history="1">
        <w:r w:rsidRPr="00405020">
          <w:rPr>
            <w:rStyle w:val="Hyperlink"/>
          </w:rPr>
          <w:t>ACCC submission to consultation, Review of the Dispute Resolution Provisions in the Food and Grocery Code</w:t>
        </w:r>
      </w:hyperlink>
      <w:r>
        <w:t xml:space="preserve">, </w:t>
      </w:r>
      <w:r w:rsidRPr="00C45FCF">
        <w:rPr>
          <w:rStyle w:val="Hyperlink"/>
          <w:color w:val="auto"/>
        </w:rPr>
        <w:t>p</w:t>
      </w:r>
      <w:r w:rsidR="006B5A07">
        <w:rPr>
          <w:rStyle w:val="Hyperlink"/>
          <w:color w:val="auto"/>
        </w:rPr>
        <w:t>.</w:t>
      </w:r>
      <w:r w:rsidRPr="00C45FCF">
        <w:rPr>
          <w:rStyle w:val="Hyperlink"/>
          <w:color w:val="auto"/>
        </w:rPr>
        <w:t xml:space="preserve"> </w:t>
      </w:r>
      <w:r>
        <w:rPr>
          <w:rStyle w:val="Hyperlink"/>
          <w:color w:val="auto"/>
        </w:rPr>
        <w:t>8.</w:t>
      </w:r>
    </w:p>
  </w:footnote>
  <w:footnote w:id="50">
    <w:p w14:paraId="51703202" w14:textId="6F035746" w:rsidR="00814074" w:rsidRDefault="00814074" w:rsidP="00814074">
      <w:pPr>
        <w:pStyle w:val="FootnoteText"/>
      </w:pPr>
      <w:r>
        <w:rPr>
          <w:rStyle w:val="FootnoteReference"/>
        </w:rPr>
        <w:footnoteRef/>
      </w:r>
      <w:r>
        <w:t xml:space="preserve"> </w:t>
      </w:r>
      <w:r>
        <w:tab/>
        <w:t xml:space="preserve">Chris Leptos, </w:t>
      </w:r>
      <w:hyperlink r:id="rId39" w:history="1">
        <w:r>
          <w:rPr>
            <w:rStyle w:val="Hyperlink"/>
          </w:rPr>
          <w:t>Food &amp; Grocery Code Independent Reviewer – Annual Report 2022</w:t>
        </w:r>
      </w:hyperlink>
      <w:r>
        <w:t>, p</w:t>
      </w:r>
      <w:r w:rsidR="006B5A07">
        <w:t>.</w:t>
      </w:r>
      <w:r>
        <w:t xml:space="preserve"> 23.</w:t>
      </w:r>
    </w:p>
  </w:footnote>
  <w:footnote w:id="51">
    <w:p w14:paraId="583B623F" w14:textId="313E6448" w:rsidR="00814074" w:rsidRDefault="00814074" w:rsidP="00814074">
      <w:pPr>
        <w:pStyle w:val="FootnoteText"/>
      </w:pPr>
      <w:r>
        <w:rPr>
          <w:rStyle w:val="FootnoteReference"/>
        </w:rPr>
        <w:footnoteRef/>
      </w:r>
      <w:r>
        <w:t xml:space="preserve"> </w:t>
      </w:r>
      <w:r>
        <w:tab/>
      </w:r>
      <w:r w:rsidRPr="003A6C5C">
        <w:t>Sam Buckingham-Jones</w:t>
      </w:r>
      <w:r>
        <w:t xml:space="preserve">, AFR, 11 January 2024, </w:t>
      </w:r>
      <w:hyperlink r:id="rId40" w:history="1">
        <w:r w:rsidRPr="009E4605">
          <w:rPr>
            <w:rStyle w:val="Hyperlink"/>
          </w:rPr>
          <w:t>Grocery review won’t lower checkout prices: former ACCC chiefs</w:t>
        </w:r>
      </w:hyperlink>
      <w:r w:rsidR="006B5A07">
        <w:rPr>
          <w:rStyle w:val="Hyperlink"/>
        </w:rPr>
        <w:t>.</w:t>
      </w:r>
    </w:p>
  </w:footnote>
  <w:footnote w:id="52">
    <w:p w14:paraId="7934FDD3" w14:textId="4BB0C779" w:rsidR="00814074" w:rsidRDefault="00814074" w:rsidP="00814074">
      <w:pPr>
        <w:pStyle w:val="FootnoteText"/>
      </w:pPr>
      <w:r>
        <w:rPr>
          <w:rStyle w:val="FootnoteReference"/>
        </w:rPr>
        <w:footnoteRef/>
      </w:r>
      <w:r>
        <w:t xml:space="preserve"> </w:t>
      </w:r>
      <w:r>
        <w:tab/>
      </w:r>
      <w:hyperlink r:id="rId41" w:history="1">
        <w:r w:rsidRPr="00235F7F">
          <w:rPr>
            <w:rStyle w:val="Hyperlink"/>
            <w:i/>
            <w:iCs/>
          </w:rPr>
          <w:t>Competition and Consumer Act 2010</w:t>
        </w:r>
        <w:r w:rsidRPr="00235F7F">
          <w:rPr>
            <w:rStyle w:val="Hyperlink"/>
          </w:rPr>
          <w:t>, Section 51AE</w:t>
        </w:r>
      </w:hyperlink>
      <w:r w:rsidR="006B5A07">
        <w:rPr>
          <w:rStyle w:val="Hyperlink"/>
        </w:rPr>
        <w:t>.</w:t>
      </w:r>
    </w:p>
  </w:footnote>
  <w:footnote w:id="53">
    <w:p w14:paraId="1514D709" w14:textId="6EA66B05" w:rsidR="00814074" w:rsidRDefault="00814074" w:rsidP="00814074">
      <w:pPr>
        <w:pStyle w:val="FootnoteText"/>
      </w:pPr>
      <w:r>
        <w:rPr>
          <w:rStyle w:val="FootnoteReference"/>
        </w:rPr>
        <w:footnoteRef/>
      </w:r>
      <w:r>
        <w:t xml:space="preserve"> </w:t>
      </w:r>
      <w:r w:rsidR="00A437AA">
        <w:tab/>
      </w:r>
      <w:r w:rsidR="00CB2278">
        <w:t>The Hon Anthony Albanese</w:t>
      </w:r>
      <w:r w:rsidR="003A3370">
        <w:t xml:space="preserve"> MP, </w:t>
      </w:r>
      <w:hyperlink r:id="rId42" w:anchor="a1" w:history="1">
        <w:r w:rsidR="00A437AA" w:rsidRPr="008C6AB2">
          <w:rPr>
            <w:rStyle w:val="Hyperlink"/>
          </w:rPr>
          <w:t>Meeting of National Cabinet - Working together to deliver better housing outcomes</w:t>
        </w:r>
      </w:hyperlink>
      <w:r w:rsidR="003A3370">
        <w:t>, 16 August 2023</w:t>
      </w:r>
      <w:r w:rsidR="008C6AB2">
        <w:t>.</w:t>
      </w:r>
    </w:p>
  </w:footnote>
  <w:footnote w:id="54">
    <w:p w14:paraId="763216DB" w14:textId="77777777" w:rsidR="00E1074B" w:rsidRDefault="00E1074B" w:rsidP="00E1074B">
      <w:pPr>
        <w:pStyle w:val="FootnoteText"/>
      </w:pPr>
      <w:r>
        <w:rPr>
          <w:rStyle w:val="FootnoteReference"/>
        </w:rPr>
        <w:footnoteRef/>
      </w:r>
      <w:r>
        <w:t xml:space="preserve"> </w:t>
      </w:r>
      <w:r>
        <w:tab/>
      </w:r>
      <w:r w:rsidRPr="00264A90">
        <w:t>The Hon Dr Jim Chalmers MP</w:t>
      </w:r>
      <w:r>
        <w:t xml:space="preserve">, </w:t>
      </w:r>
      <w:hyperlink r:id="rId43" w:history="1">
        <w:r w:rsidRPr="008A3F85">
          <w:rPr>
            <w:rStyle w:val="Hyperlink"/>
          </w:rPr>
          <w:t>Treasurers meet in Queensland</w:t>
        </w:r>
      </w:hyperlink>
      <w:r>
        <w:t>, Media Release, 1 December 2023.</w:t>
      </w:r>
    </w:p>
  </w:footnote>
  <w:footnote w:id="55">
    <w:p w14:paraId="5B8A2A8E" w14:textId="5280627C" w:rsidR="00814074" w:rsidRDefault="00814074" w:rsidP="00814074">
      <w:pPr>
        <w:pStyle w:val="FootnoteText"/>
      </w:pPr>
      <w:r>
        <w:rPr>
          <w:rStyle w:val="FootnoteReference"/>
        </w:rPr>
        <w:footnoteRef/>
      </w:r>
      <w:r>
        <w:t xml:space="preserve"> </w:t>
      </w:r>
      <w:r w:rsidR="00BE1700">
        <w:tab/>
      </w:r>
      <w:r w:rsidR="000C7567">
        <w:t>ACCC</w:t>
      </w:r>
      <w:r w:rsidR="001B2C89">
        <w:t xml:space="preserve">, </w:t>
      </w:r>
      <w:hyperlink r:id="rId44" w:history="1">
        <w:r w:rsidR="00BE1700" w:rsidRPr="00BE1700">
          <w:rPr>
            <w:rStyle w:val="Hyperlink"/>
          </w:rPr>
          <w:t>Supermarket agreement opens way for more competition</w:t>
        </w:r>
      </w:hyperlink>
      <w:r w:rsidR="00BE1700">
        <w:t>, 18 September 2009.</w:t>
      </w:r>
      <w:r w:rsidR="00BE1700" w:rsidRPr="00BE1700">
        <w:t xml:space="preserve"> </w:t>
      </w:r>
    </w:p>
  </w:footnote>
  <w:footnote w:id="56">
    <w:p w14:paraId="4DDEB8CE" w14:textId="554E4AB6" w:rsidR="003A3370" w:rsidRDefault="003A3370">
      <w:pPr>
        <w:pStyle w:val="FootnoteText"/>
      </w:pPr>
      <w:r>
        <w:rPr>
          <w:rStyle w:val="FootnoteReference"/>
        </w:rPr>
        <w:footnoteRef/>
      </w:r>
      <w:r>
        <w:t xml:space="preserve"> </w:t>
      </w:r>
      <w:r w:rsidR="00BE1700">
        <w:tab/>
      </w:r>
      <w:hyperlink r:id="rId45" w:history="1">
        <w:r w:rsidR="00C30473" w:rsidRPr="00F708AA">
          <w:rPr>
            <w:rStyle w:val="Hyperlink"/>
            <w:i/>
            <w:iCs/>
          </w:rPr>
          <w:t>Competition and Consumer Legislation Amendment Act 2011</w:t>
        </w:r>
      </w:hyperlink>
      <w:r w:rsidR="00C30473">
        <w:t xml:space="preserve"> (No. 184).</w:t>
      </w:r>
    </w:p>
  </w:footnote>
  <w:footnote w:id="57">
    <w:p w14:paraId="367426DE" w14:textId="566DC9AC" w:rsidR="006A5E5B" w:rsidRDefault="006A5E5B" w:rsidP="006A5E5B">
      <w:pPr>
        <w:pStyle w:val="FootnoteText"/>
      </w:pPr>
      <w:r>
        <w:rPr>
          <w:rStyle w:val="FootnoteReference"/>
        </w:rPr>
        <w:footnoteRef/>
      </w:r>
      <w:r>
        <w:t xml:space="preserve"> </w:t>
      </w:r>
      <w:r>
        <w:tab/>
      </w:r>
      <w:hyperlink r:id="rId46" w:anchor="search=%22legislation/ems/r4600_ems_b10671f4-f2bd-450c-92b8-48c32166a367%22" w:history="1">
        <w:r w:rsidR="00D135B7">
          <w:rPr>
            <w:rStyle w:val="Hyperlink"/>
          </w:rPr>
          <w:t>Competition and Consumer Legislation Amendment Bill 2011 Explanatory Memorandum</w:t>
        </w:r>
      </w:hyperlink>
      <w:r w:rsidR="00D135B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7196" w14:textId="3B9A6625" w:rsidR="00647692" w:rsidRDefault="006476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6735" w14:textId="159B6B61" w:rsidR="00814074" w:rsidRPr="005C5571" w:rsidRDefault="00665FB5" w:rsidP="005C5571">
    <w:pPr>
      <w:pStyle w:val="HeaderEven"/>
    </w:pPr>
    <w:fldSimple w:instr="STYLEREF  Title  \* MERGEFORMAT">
      <w:r w:rsidR="00523CEC">
        <w:rPr>
          <w:noProof/>
        </w:rPr>
        <w:t>Independent Review of the Food and Grocery Code of Conduct 2023-24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8A01" w14:textId="77777777" w:rsidR="00814074" w:rsidRPr="00F836F9" w:rsidRDefault="00814074" w:rsidP="00F836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A045" w14:textId="77777777" w:rsidR="00814074" w:rsidRPr="00647692" w:rsidRDefault="00814074" w:rsidP="006476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0C21" w14:textId="77777777" w:rsidR="00814074" w:rsidRPr="00AB738A" w:rsidRDefault="00814074" w:rsidP="00AB738A">
    <w:pPr>
      <w:pStyle w:val="HeaderOd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B886" w14:textId="345BFF87" w:rsidR="00C60B0F" w:rsidRPr="00647692" w:rsidRDefault="00665FB5" w:rsidP="00647692">
    <w:pPr>
      <w:pStyle w:val="HeaderEven"/>
    </w:pPr>
    <w:fldSimple w:instr="STYLEREF  Title  \* MERGEFORMAT">
      <w:r w:rsidR="00523CEC">
        <w:rPr>
          <w:noProof/>
        </w:rPr>
        <w:t>Independent Review of the Food and Grocery Code of Conduct 2023-24</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084D" w14:textId="52C8E638" w:rsidR="00C60B0F" w:rsidRPr="00F60198" w:rsidRDefault="00665FB5" w:rsidP="00A12F62">
    <w:pPr>
      <w:pStyle w:val="HeaderOdd"/>
    </w:pPr>
    <w:fldSimple w:instr="STYLEREF  Title  \* MERGEFORMAT">
      <w:r w:rsidR="00523CEC">
        <w:rPr>
          <w:noProof/>
        </w:rPr>
        <w:t>Independent Review of the Food and Grocery Code of Conduct 2023-24</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CF38"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DC6298F"/>
    <w:multiLevelType w:val="hybridMultilevel"/>
    <w:tmpl w:val="7B0C1FB0"/>
    <w:lvl w:ilvl="0" w:tplc="0C09000F">
      <w:start w:val="1"/>
      <w:numFmt w:val="decimal"/>
      <w:lvlText w:val="%1."/>
      <w:lvlJc w:val="left"/>
      <w:pPr>
        <w:ind w:left="360" w:hanging="360"/>
      </w:pPr>
      <w:rPr>
        <w:b w:val="0"/>
        <w:bCs w:val="0"/>
      </w:rPr>
    </w:lvl>
    <w:lvl w:ilvl="1" w:tplc="2BE2043C">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D2D5E"/>
    <w:multiLevelType w:val="hybridMultilevel"/>
    <w:tmpl w:val="6B2E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E72FFC"/>
    <w:multiLevelType w:val="hybridMultilevel"/>
    <w:tmpl w:val="EC5AF380"/>
    <w:lvl w:ilvl="0" w:tplc="7F00C6B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C51888"/>
    <w:multiLevelType w:val="hybridMultilevel"/>
    <w:tmpl w:val="9260D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B22998"/>
    <w:multiLevelType w:val="singleLevel"/>
    <w:tmpl w:val="0C09000F"/>
    <w:lvl w:ilvl="0">
      <w:start w:val="1"/>
      <w:numFmt w:val="decimal"/>
      <w:lvlText w:val="%1."/>
      <w:lvlJc w:val="left"/>
      <w:pPr>
        <w:ind w:left="360" w:hanging="360"/>
      </w:pPr>
    </w:lvl>
  </w:abstractNum>
  <w:abstractNum w:abstractNumId="12" w15:restartNumberingAfterBreak="0">
    <w:nsid w:val="48BC265D"/>
    <w:multiLevelType w:val="hybridMultilevel"/>
    <w:tmpl w:val="CEAAD5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F7F06A0"/>
    <w:multiLevelType w:val="hybridMultilevel"/>
    <w:tmpl w:val="C6206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6" w15:restartNumberingAfterBreak="0">
    <w:nsid w:val="69E85BEB"/>
    <w:multiLevelType w:val="hybridMultilevel"/>
    <w:tmpl w:val="FFFFFFFF"/>
    <w:lvl w:ilvl="0" w:tplc="D6F4CF3E">
      <w:start w:val="1"/>
      <w:numFmt w:val="lowerLetter"/>
      <w:lvlText w:val="%1."/>
      <w:lvlJc w:val="left"/>
      <w:pPr>
        <w:ind w:left="720" w:hanging="360"/>
      </w:pPr>
    </w:lvl>
    <w:lvl w:ilvl="1" w:tplc="30B4AF74">
      <w:start w:val="1"/>
      <w:numFmt w:val="lowerLetter"/>
      <w:lvlText w:val="%2."/>
      <w:lvlJc w:val="left"/>
      <w:pPr>
        <w:ind w:left="1440" w:hanging="360"/>
      </w:pPr>
    </w:lvl>
    <w:lvl w:ilvl="2" w:tplc="7D3AAB16">
      <w:start w:val="1"/>
      <w:numFmt w:val="lowerRoman"/>
      <w:lvlText w:val="%3."/>
      <w:lvlJc w:val="right"/>
      <w:pPr>
        <w:ind w:left="2160" w:hanging="180"/>
      </w:pPr>
    </w:lvl>
    <w:lvl w:ilvl="3" w:tplc="D88AC27E">
      <w:start w:val="1"/>
      <w:numFmt w:val="decimal"/>
      <w:lvlText w:val="%4."/>
      <w:lvlJc w:val="left"/>
      <w:pPr>
        <w:ind w:left="2880" w:hanging="360"/>
      </w:pPr>
    </w:lvl>
    <w:lvl w:ilvl="4" w:tplc="FF16A9BA">
      <w:start w:val="1"/>
      <w:numFmt w:val="lowerLetter"/>
      <w:lvlText w:val="%5."/>
      <w:lvlJc w:val="left"/>
      <w:pPr>
        <w:ind w:left="3600" w:hanging="360"/>
      </w:pPr>
    </w:lvl>
    <w:lvl w:ilvl="5" w:tplc="C2D4DFF4">
      <w:start w:val="1"/>
      <w:numFmt w:val="lowerRoman"/>
      <w:lvlText w:val="%6."/>
      <w:lvlJc w:val="right"/>
      <w:pPr>
        <w:ind w:left="4320" w:hanging="180"/>
      </w:pPr>
    </w:lvl>
    <w:lvl w:ilvl="6" w:tplc="366E679A">
      <w:start w:val="1"/>
      <w:numFmt w:val="decimal"/>
      <w:lvlText w:val="%7."/>
      <w:lvlJc w:val="left"/>
      <w:pPr>
        <w:ind w:left="5040" w:hanging="360"/>
      </w:pPr>
    </w:lvl>
    <w:lvl w:ilvl="7" w:tplc="17C2DAAE">
      <w:start w:val="1"/>
      <w:numFmt w:val="lowerLetter"/>
      <w:lvlText w:val="%8."/>
      <w:lvlJc w:val="left"/>
      <w:pPr>
        <w:ind w:left="5760" w:hanging="360"/>
      </w:pPr>
    </w:lvl>
    <w:lvl w:ilvl="8" w:tplc="0534FD66">
      <w:start w:val="1"/>
      <w:numFmt w:val="lowerRoman"/>
      <w:lvlText w:val="%9."/>
      <w:lvlJc w:val="right"/>
      <w:pPr>
        <w:ind w:left="6480" w:hanging="180"/>
      </w:pPr>
    </w:lvl>
  </w:abstractNum>
  <w:abstractNum w:abstractNumId="17" w15:restartNumberingAfterBreak="0">
    <w:nsid w:val="6CB64C46"/>
    <w:multiLevelType w:val="hybridMultilevel"/>
    <w:tmpl w:val="D1286418"/>
    <w:lvl w:ilvl="0" w:tplc="2E784144">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E3A020D"/>
    <w:multiLevelType w:val="hybridMultilevel"/>
    <w:tmpl w:val="1842076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50E601B"/>
    <w:multiLevelType w:val="multilevel"/>
    <w:tmpl w:val="E6DACFD8"/>
    <w:lvl w:ilvl="0">
      <w:start w:val="1"/>
      <w:numFmt w:val="bullet"/>
      <w:lvlText w:val=""/>
      <w:lvlJc w:val="left"/>
      <w:pPr>
        <w:tabs>
          <w:tab w:val="num" w:pos="520"/>
        </w:tabs>
        <w:ind w:left="284" w:hanging="284"/>
      </w:pPr>
      <w:rPr>
        <w:rFonts w:ascii="Symbol" w:hAnsi="Symbol" w:hint="default"/>
        <w:color w:val="auto"/>
      </w:rPr>
    </w:lvl>
    <w:lvl w:ilvl="1">
      <w:numFmt w:val="bullet"/>
      <w:lvlText w:val="–"/>
      <w:lvlJc w:val="left"/>
      <w:pPr>
        <w:tabs>
          <w:tab w:val="num" w:pos="804"/>
        </w:tabs>
        <w:ind w:left="568" w:hanging="284"/>
      </w:pPr>
      <w:rPr>
        <w:rFonts w:ascii="Times New Roman" w:hAnsi="Times New Roman" w:cs="Times New Roman" w:hint="default"/>
      </w:rPr>
    </w:lvl>
    <w:lvl w:ilvl="2">
      <w:numFmt w:val="bulle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0" w15:restartNumberingAfterBreak="0">
    <w:nsid w:val="77AB1B27"/>
    <w:multiLevelType w:val="multilevel"/>
    <w:tmpl w:val="7D24678C"/>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7D6B5224"/>
    <w:multiLevelType w:val="multilevel"/>
    <w:tmpl w:val="36E2EA84"/>
    <w:name w:val="StandardBulletedList"/>
    <w:lvl w:ilvl="0">
      <w:start w:val="1"/>
      <w:numFmt w:val="decimal"/>
      <w:pStyle w:val="Bullet"/>
      <w:lvlText w:val="%1."/>
      <w:lvlJc w:val="left"/>
      <w:pPr>
        <w:tabs>
          <w:tab w:val="num" w:pos="520"/>
        </w:tabs>
        <w:ind w:left="284" w:hanging="284"/>
      </w:pPr>
      <w:rPr>
        <w:rFonts w:ascii="Calibri Light" w:hAnsi="Calibri Light" w:cs="Calibri Light" w:hint="default"/>
        <w:b w:val="0"/>
        <w:bCs w:val="0"/>
        <w:color w:val="auto"/>
      </w:rPr>
    </w:lvl>
    <w:lvl w:ilvl="1">
      <w:numFmt w:val="bullet"/>
      <w:pStyle w:val="Dash"/>
      <w:lvlText w:val="–"/>
      <w:lvlJc w:val="left"/>
      <w:pPr>
        <w:tabs>
          <w:tab w:val="num" w:pos="804"/>
        </w:tabs>
        <w:ind w:left="568" w:hanging="284"/>
      </w:pPr>
      <w:rPr>
        <w:rFonts w:ascii="Times New Roman" w:hAnsi="Times New Roman" w:cs="Times New Roman" w:hint="default"/>
      </w:rPr>
    </w:lvl>
    <w:lvl w:ilvl="2">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8"/>
  </w:num>
  <w:num w:numId="2" w16cid:durableId="125392115">
    <w:abstractNumId w:val="0"/>
  </w:num>
  <w:num w:numId="3" w16cid:durableId="1138493796">
    <w:abstractNumId w:val="10"/>
  </w:num>
  <w:num w:numId="4" w16cid:durableId="697198535">
    <w:abstractNumId w:val="2"/>
  </w:num>
  <w:num w:numId="5" w16cid:durableId="1530605932">
    <w:abstractNumId w:val="14"/>
  </w:num>
  <w:num w:numId="6" w16cid:durableId="1077706018">
    <w:abstractNumId w:val="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334606905">
    <w:abstractNumId w:val="5"/>
  </w:num>
  <w:num w:numId="8" w16cid:durableId="732696603">
    <w:abstractNumId w:val="7"/>
  </w:num>
  <w:num w:numId="9" w16cid:durableId="157624863">
    <w:abstractNumId w:val="9"/>
  </w:num>
  <w:num w:numId="10" w16cid:durableId="1065297974">
    <w:abstractNumId w:val="15"/>
  </w:num>
  <w:num w:numId="11" w16cid:durableId="622805559">
    <w:abstractNumId w:val="3"/>
  </w:num>
  <w:num w:numId="12" w16cid:durableId="1844125603">
    <w:abstractNumId w:val="6"/>
  </w:num>
  <w:num w:numId="13" w16cid:durableId="955529004">
    <w:abstractNumId w:val="11"/>
  </w:num>
  <w:num w:numId="14" w16cid:durableId="1049306593">
    <w:abstractNumId w:val="21"/>
  </w:num>
  <w:num w:numId="15" w16cid:durableId="366805815">
    <w:abstractNumId w:val="16"/>
  </w:num>
  <w:num w:numId="16" w16cid:durableId="2130396949">
    <w:abstractNumId w:val="13"/>
  </w:num>
  <w:num w:numId="17" w16cid:durableId="664943872">
    <w:abstractNumId w:val="17"/>
  </w:num>
  <w:num w:numId="18" w16cid:durableId="482162673">
    <w:abstractNumId w:val="12"/>
  </w:num>
  <w:num w:numId="19" w16cid:durableId="964459911">
    <w:abstractNumId w:val="19"/>
  </w:num>
  <w:num w:numId="20" w16cid:durableId="349381623">
    <w:abstractNumId w:val="20"/>
  </w:num>
  <w:num w:numId="21" w16cid:durableId="19500895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7220794">
    <w:abstractNumId w:val="4"/>
  </w:num>
  <w:num w:numId="23" w16cid:durableId="2088451805">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6107327">
    <w:abstractNumId w:val="21"/>
    <w:lvlOverride w:ilvl="0">
      <w:startOverride w:val="16"/>
    </w:lvlOverride>
  </w:num>
  <w:num w:numId="25" w16cid:durableId="2000232223">
    <w:abstractNumId w:val="18"/>
  </w:num>
  <w:num w:numId="26" w16cid:durableId="1980257495">
    <w:abstractNumId w:val="21"/>
  </w:num>
  <w:num w:numId="27" w16cid:durableId="1621254215">
    <w:abstractNumId w:val="21"/>
  </w:num>
  <w:num w:numId="28" w16cid:durableId="1496603536">
    <w:abstractNumId w:val="21"/>
  </w:num>
  <w:num w:numId="29" w16cid:durableId="70978688">
    <w:abstractNumId w:val="21"/>
  </w:num>
  <w:num w:numId="30" w16cid:durableId="168729269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75A"/>
    <w:rsid w:val="00000AB6"/>
    <w:rsid w:val="00001F85"/>
    <w:rsid w:val="00003949"/>
    <w:rsid w:val="000039D2"/>
    <w:rsid w:val="00004643"/>
    <w:rsid w:val="00005B63"/>
    <w:rsid w:val="00006E21"/>
    <w:rsid w:val="000077BC"/>
    <w:rsid w:val="00010253"/>
    <w:rsid w:val="00011725"/>
    <w:rsid w:val="00012C62"/>
    <w:rsid w:val="00013060"/>
    <w:rsid w:val="0001396A"/>
    <w:rsid w:val="00014460"/>
    <w:rsid w:val="00015D44"/>
    <w:rsid w:val="00020F6A"/>
    <w:rsid w:val="000227B5"/>
    <w:rsid w:val="00024B16"/>
    <w:rsid w:val="00024C97"/>
    <w:rsid w:val="0002544D"/>
    <w:rsid w:val="00025A4E"/>
    <w:rsid w:val="00030843"/>
    <w:rsid w:val="00031A43"/>
    <w:rsid w:val="00031D57"/>
    <w:rsid w:val="00031E64"/>
    <w:rsid w:val="0003274A"/>
    <w:rsid w:val="00033747"/>
    <w:rsid w:val="00034133"/>
    <w:rsid w:val="0003416E"/>
    <w:rsid w:val="00034A3D"/>
    <w:rsid w:val="0003540B"/>
    <w:rsid w:val="000355F6"/>
    <w:rsid w:val="0003575E"/>
    <w:rsid w:val="00035A8F"/>
    <w:rsid w:val="00035B79"/>
    <w:rsid w:val="0003621F"/>
    <w:rsid w:val="000408FE"/>
    <w:rsid w:val="00042342"/>
    <w:rsid w:val="0004274D"/>
    <w:rsid w:val="00043348"/>
    <w:rsid w:val="0004379D"/>
    <w:rsid w:val="0004400F"/>
    <w:rsid w:val="0004483F"/>
    <w:rsid w:val="00044C2F"/>
    <w:rsid w:val="00046269"/>
    <w:rsid w:val="00046CB4"/>
    <w:rsid w:val="00046CF5"/>
    <w:rsid w:val="0004722F"/>
    <w:rsid w:val="0005138B"/>
    <w:rsid w:val="00051418"/>
    <w:rsid w:val="00051787"/>
    <w:rsid w:val="000522B7"/>
    <w:rsid w:val="00053717"/>
    <w:rsid w:val="00054E63"/>
    <w:rsid w:val="00056880"/>
    <w:rsid w:val="00057712"/>
    <w:rsid w:val="000601E4"/>
    <w:rsid w:val="0006147E"/>
    <w:rsid w:val="00062CBA"/>
    <w:rsid w:val="0006628D"/>
    <w:rsid w:val="00067381"/>
    <w:rsid w:val="00067434"/>
    <w:rsid w:val="000675D1"/>
    <w:rsid w:val="00067691"/>
    <w:rsid w:val="000731A9"/>
    <w:rsid w:val="00073521"/>
    <w:rsid w:val="000764C2"/>
    <w:rsid w:val="000775DE"/>
    <w:rsid w:val="00077A3C"/>
    <w:rsid w:val="0008028B"/>
    <w:rsid w:val="000804CF"/>
    <w:rsid w:val="00083876"/>
    <w:rsid w:val="000856E1"/>
    <w:rsid w:val="00086624"/>
    <w:rsid w:val="00087FAF"/>
    <w:rsid w:val="00092D79"/>
    <w:rsid w:val="00094302"/>
    <w:rsid w:val="000952AB"/>
    <w:rsid w:val="000958B3"/>
    <w:rsid w:val="0009678C"/>
    <w:rsid w:val="000978E0"/>
    <w:rsid w:val="000A23D3"/>
    <w:rsid w:val="000A32EB"/>
    <w:rsid w:val="000A343C"/>
    <w:rsid w:val="000A3675"/>
    <w:rsid w:val="000A601D"/>
    <w:rsid w:val="000B06CF"/>
    <w:rsid w:val="000B093F"/>
    <w:rsid w:val="000B21B0"/>
    <w:rsid w:val="000B302A"/>
    <w:rsid w:val="000B31F0"/>
    <w:rsid w:val="000B3757"/>
    <w:rsid w:val="000B44BE"/>
    <w:rsid w:val="000B61AB"/>
    <w:rsid w:val="000B6E55"/>
    <w:rsid w:val="000C5199"/>
    <w:rsid w:val="000C571D"/>
    <w:rsid w:val="000C5F40"/>
    <w:rsid w:val="000C7567"/>
    <w:rsid w:val="000D033D"/>
    <w:rsid w:val="000D07AE"/>
    <w:rsid w:val="000D07C1"/>
    <w:rsid w:val="000D43F9"/>
    <w:rsid w:val="000D4A28"/>
    <w:rsid w:val="000D6D09"/>
    <w:rsid w:val="000D7AE2"/>
    <w:rsid w:val="000D7B8F"/>
    <w:rsid w:val="000E0B74"/>
    <w:rsid w:val="000E1599"/>
    <w:rsid w:val="000E288D"/>
    <w:rsid w:val="000E42B3"/>
    <w:rsid w:val="000E4EC3"/>
    <w:rsid w:val="000E51FE"/>
    <w:rsid w:val="000E727D"/>
    <w:rsid w:val="000E7901"/>
    <w:rsid w:val="000F0796"/>
    <w:rsid w:val="000F0AEA"/>
    <w:rsid w:val="000F0DFE"/>
    <w:rsid w:val="000F19AB"/>
    <w:rsid w:val="000F2920"/>
    <w:rsid w:val="000F3CE0"/>
    <w:rsid w:val="000F6233"/>
    <w:rsid w:val="000F759B"/>
    <w:rsid w:val="000F7E16"/>
    <w:rsid w:val="000F7F3F"/>
    <w:rsid w:val="00100205"/>
    <w:rsid w:val="00101B9E"/>
    <w:rsid w:val="001034B3"/>
    <w:rsid w:val="00103924"/>
    <w:rsid w:val="00104FC8"/>
    <w:rsid w:val="00106189"/>
    <w:rsid w:val="00106A13"/>
    <w:rsid w:val="0010703F"/>
    <w:rsid w:val="001106D6"/>
    <w:rsid w:val="00111923"/>
    <w:rsid w:val="00111FD4"/>
    <w:rsid w:val="0011250A"/>
    <w:rsid w:val="00112BC7"/>
    <w:rsid w:val="00116A45"/>
    <w:rsid w:val="001216FA"/>
    <w:rsid w:val="0012501A"/>
    <w:rsid w:val="00125B9B"/>
    <w:rsid w:val="00131DC3"/>
    <w:rsid w:val="001320BD"/>
    <w:rsid w:val="00135E4C"/>
    <w:rsid w:val="0013712D"/>
    <w:rsid w:val="001373F5"/>
    <w:rsid w:val="0014097F"/>
    <w:rsid w:val="00140F6E"/>
    <w:rsid w:val="00144168"/>
    <w:rsid w:val="00145262"/>
    <w:rsid w:val="00146E34"/>
    <w:rsid w:val="00150CC6"/>
    <w:rsid w:val="001515C4"/>
    <w:rsid w:val="001515FD"/>
    <w:rsid w:val="00152C3C"/>
    <w:rsid w:val="001532EC"/>
    <w:rsid w:val="0015485B"/>
    <w:rsid w:val="00154C42"/>
    <w:rsid w:val="001573E7"/>
    <w:rsid w:val="001574C0"/>
    <w:rsid w:val="00157E2C"/>
    <w:rsid w:val="001606CF"/>
    <w:rsid w:val="00160974"/>
    <w:rsid w:val="0016128D"/>
    <w:rsid w:val="00161344"/>
    <w:rsid w:val="0016150D"/>
    <w:rsid w:val="00162437"/>
    <w:rsid w:val="00164599"/>
    <w:rsid w:val="00164868"/>
    <w:rsid w:val="00165C2A"/>
    <w:rsid w:val="001669EB"/>
    <w:rsid w:val="00166CCE"/>
    <w:rsid w:val="001677FC"/>
    <w:rsid w:val="00167E5D"/>
    <w:rsid w:val="0017089D"/>
    <w:rsid w:val="00175702"/>
    <w:rsid w:val="001805A8"/>
    <w:rsid w:val="0018090A"/>
    <w:rsid w:val="00180AE2"/>
    <w:rsid w:val="00183602"/>
    <w:rsid w:val="001845FD"/>
    <w:rsid w:val="001846D0"/>
    <w:rsid w:val="001877D5"/>
    <w:rsid w:val="0019101A"/>
    <w:rsid w:val="00191BB8"/>
    <w:rsid w:val="00191CFE"/>
    <w:rsid w:val="001929A8"/>
    <w:rsid w:val="0019502B"/>
    <w:rsid w:val="00195C8E"/>
    <w:rsid w:val="00195CBF"/>
    <w:rsid w:val="0019695E"/>
    <w:rsid w:val="001972D2"/>
    <w:rsid w:val="001A138A"/>
    <w:rsid w:val="001A4229"/>
    <w:rsid w:val="001A4241"/>
    <w:rsid w:val="001A48EF"/>
    <w:rsid w:val="001B121F"/>
    <w:rsid w:val="001B129C"/>
    <w:rsid w:val="001B2C89"/>
    <w:rsid w:val="001B56D6"/>
    <w:rsid w:val="001B79EE"/>
    <w:rsid w:val="001B7FD7"/>
    <w:rsid w:val="001C2FEF"/>
    <w:rsid w:val="001C358D"/>
    <w:rsid w:val="001C40A0"/>
    <w:rsid w:val="001D236C"/>
    <w:rsid w:val="001D4E23"/>
    <w:rsid w:val="001D6E40"/>
    <w:rsid w:val="001E075A"/>
    <w:rsid w:val="001E084A"/>
    <w:rsid w:val="001E2332"/>
    <w:rsid w:val="001E41B9"/>
    <w:rsid w:val="001E481F"/>
    <w:rsid w:val="001E5702"/>
    <w:rsid w:val="001E5F1C"/>
    <w:rsid w:val="001F0274"/>
    <w:rsid w:val="001F1AC4"/>
    <w:rsid w:val="001F1B27"/>
    <w:rsid w:val="001F3002"/>
    <w:rsid w:val="001F3915"/>
    <w:rsid w:val="001F394F"/>
    <w:rsid w:val="001F3A79"/>
    <w:rsid w:val="001F64A1"/>
    <w:rsid w:val="001F68CC"/>
    <w:rsid w:val="001F69B1"/>
    <w:rsid w:val="001F6F84"/>
    <w:rsid w:val="00203E50"/>
    <w:rsid w:val="00204186"/>
    <w:rsid w:val="00204C38"/>
    <w:rsid w:val="0020727D"/>
    <w:rsid w:val="00207344"/>
    <w:rsid w:val="00211557"/>
    <w:rsid w:val="00212EE8"/>
    <w:rsid w:val="00215938"/>
    <w:rsid w:val="00216EAC"/>
    <w:rsid w:val="00216FB4"/>
    <w:rsid w:val="002178DD"/>
    <w:rsid w:val="00221BFE"/>
    <w:rsid w:val="00221EC0"/>
    <w:rsid w:val="00222B49"/>
    <w:rsid w:val="00223091"/>
    <w:rsid w:val="00224811"/>
    <w:rsid w:val="002248DA"/>
    <w:rsid w:val="0022496F"/>
    <w:rsid w:val="0022578F"/>
    <w:rsid w:val="00226698"/>
    <w:rsid w:val="00227797"/>
    <w:rsid w:val="00230773"/>
    <w:rsid w:val="00231049"/>
    <w:rsid w:val="002314D2"/>
    <w:rsid w:val="0023305C"/>
    <w:rsid w:val="00236262"/>
    <w:rsid w:val="00236D40"/>
    <w:rsid w:val="00241881"/>
    <w:rsid w:val="0024294C"/>
    <w:rsid w:val="002436CA"/>
    <w:rsid w:val="002437D1"/>
    <w:rsid w:val="002461BA"/>
    <w:rsid w:val="00250B5C"/>
    <w:rsid w:val="002519AE"/>
    <w:rsid w:val="00251C86"/>
    <w:rsid w:val="00252921"/>
    <w:rsid w:val="00252DA6"/>
    <w:rsid w:val="00253009"/>
    <w:rsid w:val="0025374E"/>
    <w:rsid w:val="00253DA3"/>
    <w:rsid w:val="002543D8"/>
    <w:rsid w:val="002552F4"/>
    <w:rsid w:val="0025652F"/>
    <w:rsid w:val="00256594"/>
    <w:rsid w:val="0026027D"/>
    <w:rsid w:val="002608F1"/>
    <w:rsid w:val="00263249"/>
    <w:rsid w:val="00263B6C"/>
    <w:rsid w:val="00264A90"/>
    <w:rsid w:val="002650E4"/>
    <w:rsid w:val="00265C9E"/>
    <w:rsid w:val="00265DDB"/>
    <w:rsid w:val="0026712E"/>
    <w:rsid w:val="00272351"/>
    <w:rsid w:val="00272939"/>
    <w:rsid w:val="002730BA"/>
    <w:rsid w:val="00274705"/>
    <w:rsid w:val="0027590B"/>
    <w:rsid w:val="0028084B"/>
    <w:rsid w:val="002829FE"/>
    <w:rsid w:val="002831AF"/>
    <w:rsid w:val="00283B89"/>
    <w:rsid w:val="00284E37"/>
    <w:rsid w:val="002855C2"/>
    <w:rsid w:val="00285969"/>
    <w:rsid w:val="002863F3"/>
    <w:rsid w:val="00290F5B"/>
    <w:rsid w:val="00291099"/>
    <w:rsid w:val="0029395E"/>
    <w:rsid w:val="0029475B"/>
    <w:rsid w:val="002958F2"/>
    <w:rsid w:val="00295B30"/>
    <w:rsid w:val="0029641F"/>
    <w:rsid w:val="002964DB"/>
    <w:rsid w:val="00296BB1"/>
    <w:rsid w:val="002A189D"/>
    <w:rsid w:val="002A1963"/>
    <w:rsid w:val="002A1F76"/>
    <w:rsid w:val="002A1F8E"/>
    <w:rsid w:val="002A1FA2"/>
    <w:rsid w:val="002A25B8"/>
    <w:rsid w:val="002A3AA7"/>
    <w:rsid w:val="002A3F66"/>
    <w:rsid w:val="002A4315"/>
    <w:rsid w:val="002A562B"/>
    <w:rsid w:val="002A69A9"/>
    <w:rsid w:val="002A74EF"/>
    <w:rsid w:val="002A7A31"/>
    <w:rsid w:val="002B0885"/>
    <w:rsid w:val="002B1A52"/>
    <w:rsid w:val="002B21FC"/>
    <w:rsid w:val="002B33A2"/>
    <w:rsid w:val="002B3829"/>
    <w:rsid w:val="002B3B41"/>
    <w:rsid w:val="002B5A43"/>
    <w:rsid w:val="002B5CD9"/>
    <w:rsid w:val="002B5FCC"/>
    <w:rsid w:val="002B6DF6"/>
    <w:rsid w:val="002B78ED"/>
    <w:rsid w:val="002C116B"/>
    <w:rsid w:val="002C22EF"/>
    <w:rsid w:val="002C4527"/>
    <w:rsid w:val="002C5732"/>
    <w:rsid w:val="002D227A"/>
    <w:rsid w:val="002D4259"/>
    <w:rsid w:val="002D51C2"/>
    <w:rsid w:val="002D6788"/>
    <w:rsid w:val="002D69C9"/>
    <w:rsid w:val="002E16A7"/>
    <w:rsid w:val="002E1FB6"/>
    <w:rsid w:val="002E36F3"/>
    <w:rsid w:val="002E3CC3"/>
    <w:rsid w:val="002E454C"/>
    <w:rsid w:val="002F043C"/>
    <w:rsid w:val="002F0822"/>
    <w:rsid w:val="002F0FFE"/>
    <w:rsid w:val="002F1844"/>
    <w:rsid w:val="002F26A5"/>
    <w:rsid w:val="002F2FA3"/>
    <w:rsid w:val="002F33F9"/>
    <w:rsid w:val="002F3D20"/>
    <w:rsid w:val="002F4A01"/>
    <w:rsid w:val="002F4C64"/>
    <w:rsid w:val="002F5331"/>
    <w:rsid w:val="002F617F"/>
    <w:rsid w:val="002F62F6"/>
    <w:rsid w:val="002F6940"/>
    <w:rsid w:val="0030005D"/>
    <w:rsid w:val="00300109"/>
    <w:rsid w:val="00301755"/>
    <w:rsid w:val="003020EA"/>
    <w:rsid w:val="00302FA5"/>
    <w:rsid w:val="003048AA"/>
    <w:rsid w:val="0030665E"/>
    <w:rsid w:val="00306894"/>
    <w:rsid w:val="003069BE"/>
    <w:rsid w:val="0030732B"/>
    <w:rsid w:val="003074FE"/>
    <w:rsid w:val="00307A92"/>
    <w:rsid w:val="00311B15"/>
    <w:rsid w:val="003122F4"/>
    <w:rsid w:val="00312933"/>
    <w:rsid w:val="00313F72"/>
    <w:rsid w:val="003144B7"/>
    <w:rsid w:val="0031609E"/>
    <w:rsid w:val="0031650C"/>
    <w:rsid w:val="003176F1"/>
    <w:rsid w:val="0031776A"/>
    <w:rsid w:val="0032015A"/>
    <w:rsid w:val="00320430"/>
    <w:rsid w:val="00322F61"/>
    <w:rsid w:val="00326518"/>
    <w:rsid w:val="003268D5"/>
    <w:rsid w:val="00333264"/>
    <w:rsid w:val="0033352C"/>
    <w:rsid w:val="0033398E"/>
    <w:rsid w:val="0033408D"/>
    <w:rsid w:val="00334176"/>
    <w:rsid w:val="0033755F"/>
    <w:rsid w:val="00341E74"/>
    <w:rsid w:val="00342E7E"/>
    <w:rsid w:val="00343439"/>
    <w:rsid w:val="0034475B"/>
    <w:rsid w:val="003448F6"/>
    <w:rsid w:val="0034581D"/>
    <w:rsid w:val="00346EAF"/>
    <w:rsid w:val="003472A6"/>
    <w:rsid w:val="003502B2"/>
    <w:rsid w:val="00350388"/>
    <w:rsid w:val="00350759"/>
    <w:rsid w:val="00352B6F"/>
    <w:rsid w:val="00353708"/>
    <w:rsid w:val="00353A36"/>
    <w:rsid w:val="00354D27"/>
    <w:rsid w:val="0035615D"/>
    <w:rsid w:val="0035738A"/>
    <w:rsid w:val="003600A3"/>
    <w:rsid w:val="003623F7"/>
    <w:rsid w:val="00362ADE"/>
    <w:rsid w:val="0036516D"/>
    <w:rsid w:val="003722CC"/>
    <w:rsid w:val="00372F86"/>
    <w:rsid w:val="003744B0"/>
    <w:rsid w:val="00375655"/>
    <w:rsid w:val="00377B44"/>
    <w:rsid w:val="00380B0E"/>
    <w:rsid w:val="00381B4C"/>
    <w:rsid w:val="00383098"/>
    <w:rsid w:val="00383A35"/>
    <w:rsid w:val="00384523"/>
    <w:rsid w:val="00384D04"/>
    <w:rsid w:val="003858A6"/>
    <w:rsid w:val="00385D1F"/>
    <w:rsid w:val="00386C66"/>
    <w:rsid w:val="0039150C"/>
    <w:rsid w:val="00392DCC"/>
    <w:rsid w:val="00393B45"/>
    <w:rsid w:val="003976E8"/>
    <w:rsid w:val="00397A15"/>
    <w:rsid w:val="00397BB5"/>
    <w:rsid w:val="00397BF0"/>
    <w:rsid w:val="003A098D"/>
    <w:rsid w:val="003A09BA"/>
    <w:rsid w:val="003A198B"/>
    <w:rsid w:val="003A1D15"/>
    <w:rsid w:val="003A2A88"/>
    <w:rsid w:val="003A3370"/>
    <w:rsid w:val="003A3F61"/>
    <w:rsid w:val="003A5012"/>
    <w:rsid w:val="003A58B4"/>
    <w:rsid w:val="003A5B36"/>
    <w:rsid w:val="003A6B67"/>
    <w:rsid w:val="003A7583"/>
    <w:rsid w:val="003B0446"/>
    <w:rsid w:val="003B0AEC"/>
    <w:rsid w:val="003B30FE"/>
    <w:rsid w:val="003B6135"/>
    <w:rsid w:val="003B6C52"/>
    <w:rsid w:val="003B6D84"/>
    <w:rsid w:val="003C003A"/>
    <w:rsid w:val="003C19B1"/>
    <w:rsid w:val="003C24B4"/>
    <w:rsid w:val="003C47DA"/>
    <w:rsid w:val="003C6534"/>
    <w:rsid w:val="003C696D"/>
    <w:rsid w:val="003D1008"/>
    <w:rsid w:val="003D25F7"/>
    <w:rsid w:val="003D4406"/>
    <w:rsid w:val="003D4F6A"/>
    <w:rsid w:val="003D7274"/>
    <w:rsid w:val="003E00B5"/>
    <w:rsid w:val="003E0632"/>
    <w:rsid w:val="003E0F60"/>
    <w:rsid w:val="003E13C6"/>
    <w:rsid w:val="003E1919"/>
    <w:rsid w:val="003E1D42"/>
    <w:rsid w:val="003E20D6"/>
    <w:rsid w:val="003E3B86"/>
    <w:rsid w:val="003E40B4"/>
    <w:rsid w:val="003E4D87"/>
    <w:rsid w:val="003E6803"/>
    <w:rsid w:val="003E6A16"/>
    <w:rsid w:val="003E7C33"/>
    <w:rsid w:val="003F04E6"/>
    <w:rsid w:val="003F1C1A"/>
    <w:rsid w:val="003F2735"/>
    <w:rsid w:val="003F5B94"/>
    <w:rsid w:val="00400043"/>
    <w:rsid w:val="004001AA"/>
    <w:rsid w:val="00401082"/>
    <w:rsid w:val="00401E4C"/>
    <w:rsid w:val="00404FEC"/>
    <w:rsid w:val="0040574D"/>
    <w:rsid w:val="0040675D"/>
    <w:rsid w:val="00410527"/>
    <w:rsid w:val="00410819"/>
    <w:rsid w:val="00410A23"/>
    <w:rsid w:val="00412369"/>
    <w:rsid w:val="004127F4"/>
    <w:rsid w:val="004129AA"/>
    <w:rsid w:val="00413E25"/>
    <w:rsid w:val="00415882"/>
    <w:rsid w:val="004165C9"/>
    <w:rsid w:val="00416762"/>
    <w:rsid w:val="00416E55"/>
    <w:rsid w:val="0042074B"/>
    <w:rsid w:val="00420DA0"/>
    <w:rsid w:val="00421955"/>
    <w:rsid w:val="004233EB"/>
    <w:rsid w:val="004242BC"/>
    <w:rsid w:val="004243DE"/>
    <w:rsid w:val="00424730"/>
    <w:rsid w:val="0042518A"/>
    <w:rsid w:val="0042570F"/>
    <w:rsid w:val="00426258"/>
    <w:rsid w:val="004267DA"/>
    <w:rsid w:val="004276A0"/>
    <w:rsid w:val="0042793D"/>
    <w:rsid w:val="004309C1"/>
    <w:rsid w:val="00432775"/>
    <w:rsid w:val="0043725F"/>
    <w:rsid w:val="00437EE9"/>
    <w:rsid w:val="00441AE2"/>
    <w:rsid w:val="00442298"/>
    <w:rsid w:val="00443BD2"/>
    <w:rsid w:val="00444A63"/>
    <w:rsid w:val="00444F0A"/>
    <w:rsid w:val="00445265"/>
    <w:rsid w:val="00446608"/>
    <w:rsid w:val="00451DDF"/>
    <w:rsid w:val="00452689"/>
    <w:rsid w:val="004535B0"/>
    <w:rsid w:val="004559CE"/>
    <w:rsid w:val="004571C5"/>
    <w:rsid w:val="00457267"/>
    <w:rsid w:val="00460E1A"/>
    <w:rsid w:val="00461F8B"/>
    <w:rsid w:val="0046309B"/>
    <w:rsid w:val="00463DF8"/>
    <w:rsid w:val="00466360"/>
    <w:rsid w:val="004670B5"/>
    <w:rsid w:val="00470D54"/>
    <w:rsid w:val="004714D2"/>
    <w:rsid w:val="004725EB"/>
    <w:rsid w:val="00472DE1"/>
    <w:rsid w:val="00475085"/>
    <w:rsid w:val="00476CF6"/>
    <w:rsid w:val="00477AA8"/>
    <w:rsid w:val="00480236"/>
    <w:rsid w:val="0048122B"/>
    <w:rsid w:val="00483252"/>
    <w:rsid w:val="0048381A"/>
    <w:rsid w:val="00486750"/>
    <w:rsid w:val="00486C84"/>
    <w:rsid w:val="00486D65"/>
    <w:rsid w:val="004873CC"/>
    <w:rsid w:val="0049058D"/>
    <w:rsid w:val="00492EA7"/>
    <w:rsid w:val="00492FCB"/>
    <w:rsid w:val="00494B24"/>
    <w:rsid w:val="00495C08"/>
    <w:rsid w:val="00495E52"/>
    <w:rsid w:val="00497F86"/>
    <w:rsid w:val="004A03BB"/>
    <w:rsid w:val="004A0B47"/>
    <w:rsid w:val="004A0C3D"/>
    <w:rsid w:val="004A0F11"/>
    <w:rsid w:val="004A3067"/>
    <w:rsid w:val="004A3B4D"/>
    <w:rsid w:val="004A3EAA"/>
    <w:rsid w:val="004A5D40"/>
    <w:rsid w:val="004A7372"/>
    <w:rsid w:val="004A7D97"/>
    <w:rsid w:val="004B3F38"/>
    <w:rsid w:val="004B5133"/>
    <w:rsid w:val="004C0732"/>
    <w:rsid w:val="004C2902"/>
    <w:rsid w:val="004C41B6"/>
    <w:rsid w:val="004C52C2"/>
    <w:rsid w:val="004C5963"/>
    <w:rsid w:val="004C5B2B"/>
    <w:rsid w:val="004C620C"/>
    <w:rsid w:val="004C6D39"/>
    <w:rsid w:val="004C734D"/>
    <w:rsid w:val="004D09F1"/>
    <w:rsid w:val="004D25A0"/>
    <w:rsid w:val="004D25FD"/>
    <w:rsid w:val="004D47C4"/>
    <w:rsid w:val="004D48F9"/>
    <w:rsid w:val="004D550A"/>
    <w:rsid w:val="004D6899"/>
    <w:rsid w:val="004D6E37"/>
    <w:rsid w:val="004D7218"/>
    <w:rsid w:val="004D7A7C"/>
    <w:rsid w:val="004E00EA"/>
    <w:rsid w:val="004E0BAC"/>
    <w:rsid w:val="004E4DBC"/>
    <w:rsid w:val="004E5693"/>
    <w:rsid w:val="004E5AC7"/>
    <w:rsid w:val="004E6B14"/>
    <w:rsid w:val="004E7E50"/>
    <w:rsid w:val="004F3952"/>
    <w:rsid w:val="004F3AB8"/>
    <w:rsid w:val="004F4B92"/>
    <w:rsid w:val="004F5C4E"/>
    <w:rsid w:val="004F6AD9"/>
    <w:rsid w:val="004F7196"/>
    <w:rsid w:val="004F72B6"/>
    <w:rsid w:val="004F75E5"/>
    <w:rsid w:val="004F7881"/>
    <w:rsid w:val="004F79E6"/>
    <w:rsid w:val="004F7DF3"/>
    <w:rsid w:val="004F7E7A"/>
    <w:rsid w:val="00501AE8"/>
    <w:rsid w:val="00501B6C"/>
    <w:rsid w:val="00502A9D"/>
    <w:rsid w:val="00504F8D"/>
    <w:rsid w:val="00505D65"/>
    <w:rsid w:val="005149C3"/>
    <w:rsid w:val="005165A3"/>
    <w:rsid w:val="00516785"/>
    <w:rsid w:val="0051721E"/>
    <w:rsid w:val="005234A5"/>
    <w:rsid w:val="00523CEC"/>
    <w:rsid w:val="0052419D"/>
    <w:rsid w:val="005247E1"/>
    <w:rsid w:val="00525C8C"/>
    <w:rsid w:val="00526C19"/>
    <w:rsid w:val="00527009"/>
    <w:rsid w:val="005301F8"/>
    <w:rsid w:val="00530E1D"/>
    <w:rsid w:val="005312FC"/>
    <w:rsid w:val="00531F34"/>
    <w:rsid w:val="00532C6D"/>
    <w:rsid w:val="0053569E"/>
    <w:rsid w:val="0053603D"/>
    <w:rsid w:val="0053619A"/>
    <w:rsid w:val="0053742A"/>
    <w:rsid w:val="00537729"/>
    <w:rsid w:val="00537C85"/>
    <w:rsid w:val="0054091A"/>
    <w:rsid w:val="00541CC7"/>
    <w:rsid w:val="00541D29"/>
    <w:rsid w:val="00541F1E"/>
    <w:rsid w:val="00543F23"/>
    <w:rsid w:val="00550246"/>
    <w:rsid w:val="00552F1B"/>
    <w:rsid w:val="00553930"/>
    <w:rsid w:val="00553DE6"/>
    <w:rsid w:val="005562FF"/>
    <w:rsid w:val="00556645"/>
    <w:rsid w:val="005569BB"/>
    <w:rsid w:val="00556E36"/>
    <w:rsid w:val="00562581"/>
    <w:rsid w:val="00562F17"/>
    <w:rsid w:val="00563D4D"/>
    <w:rsid w:val="0056449C"/>
    <w:rsid w:val="00565232"/>
    <w:rsid w:val="0056582C"/>
    <w:rsid w:val="0056592F"/>
    <w:rsid w:val="00567164"/>
    <w:rsid w:val="005702E2"/>
    <w:rsid w:val="005704E4"/>
    <w:rsid w:val="00570DD6"/>
    <w:rsid w:val="005711C1"/>
    <w:rsid w:val="00571221"/>
    <w:rsid w:val="0057169F"/>
    <w:rsid w:val="0057316C"/>
    <w:rsid w:val="00573526"/>
    <w:rsid w:val="0057363D"/>
    <w:rsid w:val="00575111"/>
    <w:rsid w:val="005763F4"/>
    <w:rsid w:val="0057686B"/>
    <w:rsid w:val="00577083"/>
    <w:rsid w:val="00577281"/>
    <w:rsid w:val="005776B2"/>
    <w:rsid w:val="00584650"/>
    <w:rsid w:val="0058614C"/>
    <w:rsid w:val="00586605"/>
    <w:rsid w:val="005868DE"/>
    <w:rsid w:val="00586A6C"/>
    <w:rsid w:val="005877AC"/>
    <w:rsid w:val="00590343"/>
    <w:rsid w:val="00591D34"/>
    <w:rsid w:val="0059283C"/>
    <w:rsid w:val="0059411B"/>
    <w:rsid w:val="00594BC1"/>
    <w:rsid w:val="00595182"/>
    <w:rsid w:val="00595944"/>
    <w:rsid w:val="005966B7"/>
    <w:rsid w:val="005A017F"/>
    <w:rsid w:val="005A0404"/>
    <w:rsid w:val="005A116D"/>
    <w:rsid w:val="005A317B"/>
    <w:rsid w:val="005A453A"/>
    <w:rsid w:val="005A62F0"/>
    <w:rsid w:val="005A640D"/>
    <w:rsid w:val="005B273F"/>
    <w:rsid w:val="005B5511"/>
    <w:rsid w:val="005B5E2A"/>
    <w:rsid w:val="005B68A5"/>
    <w:rsid w:val="005B7B44"/>
    <w:rsid w:val="005C02A4"/>
    <w:rsid w:val="005C0E1C"/>
    <w:rsid w:val="005C0F21"/>
    <w:rsid w:val="005C20D2"/>
    <w:rsid w:val="005C32FE"/>
    <w:rsid w:val="005C370D"/>
    <w:rsid w:val="005C503A"/>
    <w:rsid w:val="005C5571"/>
    <w:rsid w:val="005C5773"/>
    <w:rsid w:val="005C5E8C"/>
    <w:rsid w:val="005C75A5"/>
    <w:rsid w:val="005C7944"/>
    <w:rsid w:val="005D024A"/>
    <w:rsid w:val="005D0E1C"/>
    <w:rsid w:val="005D0ECF"/>
    <w:rsid w:val="005D2A0F"/>
    <w:rsid w:val="005D4FD4"/>
    <w:rsid w:val="005D68CD"/>
    <w:rsid w:val="005D6D64"/>
    <w:rsid w:val="005E279C"/>
    <w:rsid w:val="005E48B8"/>
    <w:rsid w:val="005E4DF1"/>
    <w:rsid w:val="005E58E8"/>
    <w:rsid w:val="005E597E"/>
    <w:rsid w:val="005E5D6A"/>
    <w:rsid w:val="005E67D5"/>
    <w:rsid w:val="005E73EE"/>
    <w:rsid w:val="005F0EFF"/>
    <w:rsid w:val="005F3D5E"/>
    <w:rsid w:val="005F402E"/>
    <w:rsid w:val="005F4B5B"/>
    <w:rsid w:val="005F4FBC"/>
    <w:rsid w:val="005F5B17"/>
    <w:rsid w:val="005F5DBC"/>
    <w:rsid w:val="005F691C"/>
    <w:rsid w:val="005F7BD2"/>
    <w:rsid w:val="006015AB"/>
    <w:rsid w:val="00601650"/>
    <w:rsid w:val="00602234"/>
    <w:rsid w:val="00604EEF"/>
    <w:rsid w:val="00605AFD"/>
    <w:rsid w:val="0060610F"/>
    <w:rsid w:val="00606BA9"/>
    <w:rsid w:val="00606FF3"/>
    <w:rsid w:val="006078BD"/>
    <w:rsid w:val="00607C78"/>
    <w:rsid w:val="00607FA4"/>
    <w:rsid w:val="006101F1"/>
    <w:rsid w:val="00611F76"/>
    <w:rsid w:val="006123D4"/>
    <w:rsid w:val="006128AB"/>
    <w:rsid w:val="0061412D"/>
    <w:rsid w:val="0061445B"/>
    <w:rsid w:val="00615BDE"/>
    <w:rsid w:val="0061654B"/>
    <w:rsid w:val="00616DB9"/>
    <w:rsid w:val="00621043"/>
    <w:rsid w:val="00621D9C"/>
    <w:rsid w:val="006223F4"/>
    <w:rsid w:val="00622FCB"/>
    <w:rsid w:val="00624C4B"/>
    <w:rsid w:val="006300C8"/>
    <w:rsid w:val="006335C0"/>
    <w:rsid w:val="00634DD7"/>
    <w:rsid w:val="006359E2"/>
    <w:rsid w:val="006400E6"/>
    <w:rsid w:val="0064195E"/>
    <w:rsid w:val="00641E03"/>
    <w:rsid w:val="006427FC"/>
    <w:rsid w:val="00642882"/>
    <w:rsid w:val="00643B2B"/>
    <w:rsid w:val="00644355"/>
    <w:rsid w:val="006469CC"/>
    <w:rsid w:val="006475E6"/>
    <w:rsid w:val="00647692"/>
    <w:rsid w:val="006478C7"/>
    <w:rsid w:val="00650EB6"/>
    <w:rsid w:val="00655EAE"/>
    <w:rsid w:val="00657272"/>
    <w:rsid w:val="00657C1C"/>
    <w:rsid w:val="00663042"/>
    <w:rsid w:val="00663675"/>
    <w:rsid w:val="00664CFB"/>
    <w:rsid w:val="00665FB5"/>
    <w:rsid w:val="00666CC3"/>
    <w:rsid w:val="00667852"/>
    <w:rsid w:val="00667BC9"/>
    <w:rsid w:val="00670655"/>
    <w:rsid w:val="00671324"/>
    <w:rsid w:val="00672B5D"/>
    <w:rsid w:val="0067622C"/>
    <w:rsid w:val="00676AB1"/>
    <w:rsid w:val="006776EB"/>
    <w:rsid w:val="00677B1C"/>
    <w:rsid w:val="006818EF"/>
    <w:rsid w:val="00681FF0"/>
    <w:rsid w:val="00682249"/>
    <w:rsid w:val="00682B5E"/>
    <w:rsid w:val="00683C43"/>
    <w:rsid w:val="006849E3"/>
    <w:rsid w:val="00685CF7"/>
    <w:rsid w:val="00686165"/>
    <w:rsid w:val="0068631C"/>
    <w:rsid w:val="00687E29"/>
    <w:rsid w:val="00687FB9"/>
    <w:rsid w:val="006904C2"/>
    <w:rsid w:val="006913FE"/>
    <w:rsid w:val="00691CB5"/>
    <w:rsid w:val="006923DF"/>
    <w:rsid w:val="006944F4"/>
    <w:rsid w:val="00697A05"/>
    <w:rsid w:val="006A37F5"/>
    <w:rsid w:val="006A4DC2"/>
    <w:rsid w:val="006A5B9A"/>
    <w:rsid w:val="006A5E5B"/>
    <w:rsid w:val="006A607A"/>
    <w:rsid w:val="006B0B77"/>
    <w:rsid w:val="006B1191"/>
    <w:rsid w:val="006B1980"/>
    <w:rsid w:val="006B1BAD"/>
    <w:rsid w:val="006B38FF"/>
    <w:rsid w:val="006B3AB9"/>
    <w:rsid w:val="006B497A"/>
    <w:rsid w:val="006B55CC"/>
    <w:rsid w:val="006B5A07"/>
    <w:rsid w:val="006B5D99"/>
    <w:rsid w:val="006B6045"/>
    <w:rsid w:val="006C0CD5"/>
    <w:rsid w:val="006C1892"/>
    <w:rsid w:val="006C2487"/>
    <w:rsid w:val="006C25AC"/>
    <w:rsid w:val="006C32FD"/>
    <w:rsid w:val="006C3D1F"/>
    <w:rsid w:val="006C5930"/>
    <w:rsid w:val="006C5B73"/>
    <w:rsid w:val="006C5DCF"/>
    <w:rsid w:val="006C6222"/>
    <w:rsid w:val="006C645D"/>
    <w:rsid w:val="006C6A8C"/>
    <w:rsid w:val="006C6C76"/>
    <w:rsid w:val="006C731F"/>
    <w:rsid w:val="006D180F"/>
    <w:rsid w:val="006D1A51"/>
    <w:rsid w:val="006D1CB0"/>
    <w:rsid w:val="006D3C6B"/>
    <w:rsid w:val="006D4C3C"/>
    <w:rsid w:val="006E0240"/>
    <w:rsid w:val="006E2D2A"/>
    <w:rsid w:val="006E3CC3"/>
    <w:rsid w:val="006E3E33"/>
    <w:rsid w:val="006E7684"/>
    <w:rsid w:val="006E7EFA"/>
    <w:rsid w:val="006F1A37"/>
    <w:rsid w:val="006F32EB"/>
    <w:rsid w:val="006F49C9"/>
    <w:rsid w:val="006F52ED"/>
    <w:rsid w:val="006F63F0"/>
    <w:rsid w:val="006F75A5"/>
    <w:rsid w:val="007000E3"/>
    <w:rsid w:val="007009AF"/>
    <w:rsid w:val="007021CB"/>
    <w:rsid w:val="007037C4"/>
    <w:rsid w:val="00704608"/>
    <w:rsid w:val="00704E55"/>
    <w:rsid w:val="00706E8E"/>
    <w:rsid w:val="00707D60"/>
    <w:rsid w:val="00711A83"/>
    <w:rsid w:val="00713B25"/>
    <w:rsid w:val="00713D37"/>
    <w:rsid w:val="00720786"/>
    <w:rsid w:val="00721669"/>
    <w:rsid w:val="0072216B"/>
    <w:rsid w:val="00722B53"/>
    <w:rsid w:val="00724835"/>
    <w:rsid w:val="007255A7"/>
    <w:rsid w:val="00725916"/>
    <w:rsid w:val="00725D9C"/>
    <w:rsid w:val="00726644"/>
    <w:rsid w:val="007269B1"/>
    <w:rsid w:val="007303EB"/>
    <w:rsid w:val="0073344C"/>
    <w:rsid w:val="007379AB"/>
    <w:rsid w:val="00742366"/>
    <w:rsid w:val="00744208"/>
    <w:rsid w:val="00744484"/>
    <w:rsid w:val="00746A64"/>
    <w:rsid w:val="00747564"/>
    <w:rsid w:val="00747D8C"/>
    <w:rsid w:val="007509DD"/>
    <w:rsid w:val="00753930"/>
    <w:rsid w:val="007540E6"/>
    <w:rsid w:val="00754A50"/>
    <w:rsid w:val="0075564B"/>
    <w:rsid w:val="00756D60"/>
    <w:rsid w:val="00756FDF"/>
    <w:rsid w:val="00760E7B"/>
    <w:rsid w:val="00763471"/>
    <w:rsid w:val="00763474"/>
    <w:rsid w:val="00766184"/>
    <w:rsid w:val="007666E4"/>
    <w:rsid w:val="007712FF"/>
    <w:rsid w:val="00771579"/>
    <w:rsid w:val="0077511D"/>
    <w:rsid w:val="00780730"/>
    <w:rsid w:val="0078099D"/>
    <w:rsid w:val="00780F87"/>
    <w:rsid w:val="0078257B"/>
    <w:rsid w:val="00782881"/>
    <w:rsid w:val="00782C9C"/>
    <w:rsid w:val="00783859"/>
    <w:rsid w:val="00783D75"/>
    <w:rsid w:val="00784C0A"/>
    <w:rsid w:val="0078557B"/>
    <w:rsid w:val="00786D7C"/>
    <w:rsid w:val="007901EB"/>
    <w:rsid w:val="00790447"/>
    <w:rsid w:val="00790D6F"/>
    <w:rsid w:val="007918AC"/>
    <w:rsid w:val="0079320B"/>
    <w:rsid w:val="00794B40"/>
    <w:rsid w:val="00796E26"/>
    <w:rsid w:val="00796E34"/>
    <w:rsid w:val="007A1079"/>
    <w:rsid w:val="007A36BE"/>
    <w:rsid w:val="007A6498"/>
    <w:rsid w:val="007B064A"/>
    <w:rsid w:val="007B0FF5"/>
    <w:rsid w:val="007B1E3E"/>
    <w:rsid w:val="007B2677"/>
    <w:rsid w:val="007B6644"/>
    <w:rsid w:val="007B76AB"/>
    <w:rsid w:val="007B76EE"/>
    <w:rsid w:val="007C045E"/>
    <w:rsid w:val="007C131F"/>
    <w:rsid w:val="007C5469"/>
    <w:rsid w:val="007C73E2"/>
    <w:rsid w:val="007D071F"/>
    <w:rsid w:val="007D2225"/>
    <w:rsid w:val="007D3076"/>
    <w:rsid w:val="007D542B"/>
    <w:rsid w:val="007D592B"/>
    <w:rsid w:val="007D5AA6"/>
    <w:rsid w:val="007D5F7A"/>
    <w:rsid w:val="007D7A91"/>
    <w:rsid w:val="007E2880"/>
    <w:rsid w:val="007E2F7F"/>
    <w:rsid w:val="007E4658"/>
    <w:rsid w:val="007E4C08"/>
    <w:rsid w:val="007E53CB"/>
    <w:rsid w:val="007E55B0"/>
    <w:rsid w:val="007E6456"/>
    <w:rsid w:val="007E69E7"/>
    <w:rsid w:val="007F0C54"/>
    <w:rsid w:val="007F261A"/>
    <w:rsid w:val="007F2A3B"/>
    <w:rsid w:val="007F4D92"/>
    <w:rsid w:val="007F5721"/>
    <w:rsid w:val="00801303"/>
    <w:rsid w:val="008016C5"/>
    <w:rsid w:val="00801A50"/>
    <w:rsid w:val="008031D7"/>
    <w:rsid w:val="00804A54"/>
    <w:rsid w:val="00804C15"/>
    <w:rsid w:val="00805278"/>
    <w:rsid w:val="00806E1E"/>
    <w:rsid w:val="008076FC"/>
    <w:rsid w:val="00807971"/>
    <w:rsid w:val="00811943"/>
    <w:rsid w:val="00813BE5"/>
    <w:rsid w:val="00814074"/>
    <w:rsid w:val="00814378"/>
    <w:rsid w:val="00815C81"/>
    <w:rsid w:val="00816115"/>
    <w:rsid w:val="008166C5"/>
    <w:rsid w:val="00817F20"/>
    <w:rsid w:val="00822B18"/>
    <w:rsid w:val="00824245"/>
    <w:rsid w:val="00825350"/>
    <w:rsid w:val="00825914"/>
    <w:rsid w:val="008311B8"/>
    <w:rsid w:val="00834243"/>
    <w:rsid w:val="00834E41"/>
    <w:rsid w:val="008374C4"/>
    <w:rsid w:val="00841B9B"/>
    <w:rsid w:val="00841BAB"/>
    <w:rsid w:val="00842040"/>
    <w:rsid w:val="00843001"/>
    <w:rsid w:val="00844649"/>
    <w:rsid w:val="00844BB8"/>
    <w:rsid w:val="008471FE"/>
    <w:rsid w:val="008516A7"/>
    <w:rsid w:val="00852181"/>
    <w:rsid w:val="008528CB"/>
    <w:rsid w:val="00854DF0"/>
    <w:rsid w:val="00857969"/>
    <w:rsid w:val="008579E4"/>
    <w:rsid w:val="0086046C"/>
    <w:rsid w:val="0086110C"/>
    <w:rsid w:val="00867926"/>
    <w:rsid w:val="0087150F"/>
    <w:rsid w:val="00873BD0"/>
    <w:rsid w:val="00874BF3"/>
    <w:rsid w:val="008761F7"/>
    <w:rsid w:val="008826FF"/>
    <w:rsid w:val="00882CC4"/>
    <w:rsid w:val="008831A7"/>
    <w:rsid w:val="00883B0F"/>
    <w:rsid w:val="008844AC"/>
    <w:rsid w:val="00884926"/>
    <w:rsid w:val="0088666B"/>
    <w:rsid w:val="00890102"/>
    <w:rsid w:val="008924F7"/>
    <w:rsid w:val="008941E1"/>
    <w:rsid w:val="00894DE9"/>
    <w:rsid w:val="0089552C"/>
    <w:rsid w:val="00897F46"/>
    <w:rsid w:val="008A121C"/>
    <w:rsid w:val="008A1688"/>
    <w:rsid w:val="008A1B2D"/>
    <w:rsid w:val="008A209C"/>
    <w:rsid w:val="008A228C"/>
    <w:rsid w:val="008A2BBA"/>
    <w:rsid w:val="008A3F85"/>
    <w:rsid w:val="008A4A7C"/>
    <w:rsid w:val="008A7C34"/>
    <w:rsid w:val="008B05C4"/>
    <w:rsid w:val="008B2082"/>
    <w:rsid w:val="008B3344"/>
    <w:rsid w:val="008B3576"/>
    <w:rsid w:val="008B54DC"/>
    <w:rsid w:val="008B6C45"/>
    <w:rsid w:val="008C0194"/>
    <w:rsid w:val="008C081F"/>
    <w:rsid w:val="008C3463"/>
    <w:rsid w:val="008C4B22"/>
    <w:rsid w:val="008C6AB2"/>
    <w:rsid w:val="008C76FD"/>
    <w:rsid w:val="008C7F71"/>
    <w:rsid w:val="008D02D1"/>
    <w:rsid w:val="008D2311"/>
    <w:rsid w:val="008D2C84"/>
    <w:rsid w:val="008D339F"/>
    <w:rsid w:val="008D3CDF"/>
    <w:rsid w:val="008D43B4"/>
    <w:rsid w:val="008D4E89"/>
    <w:rsid w:val="008D51B5"/>
    <w:rsid w:val="008D5486"/>
    <w:rsid w:val="008D6748"/>
    <w:rsid w:val="008D6B21"/>
    <w:rsid w:val="008D7969"/>
    <w:rsid w:val="008E0035"/>
    <w:rsid w:val="008E0E83"/>
    <w:rsid w:val="008E350D"/>
    <w:rsid w:val="008E3900"/>
    <w:rsid w:val="008E42FB"/>
    <w:rsid w:val="008E4B0D"/>
    <w:rsid w:val="008E4BBD"/>
    <w:rsid w:val="008E6292"/>
    <w:rsid w:val="008F07B9"/>
    <w:rsid w:val="008F192A"/>
    <w:rsid w:val="008F1EAC"/>
    <w:rsid w:val="008F23EB"/>
    <w:rsid w:val="008F2901"/>
    <w:rsid w:val="008F3B78"/>
    <w:rsid w:val="008F7BEF"/>
    <w:rsid w:val="00901258"/>
    <w:rsid w:val="00902575"/>
    <w:rsid w:val="0090265D"/>
    <w:rsid w:val="0090338A"/>
    <w:rsid w:val="00903C36"/>
    <w:rsid w:val="00905D05"/>
    <w:rsid w:val="00906E61"/>
    <w:rsid w:val="009100E9"/>
    <w:rsid w:val="00913D4B"/>
    <w:rsid w:val="00913E27"/>
    <w:rsid w:val="00914F6B"/>
    <w:rsid w:val="009162DB"/>
    <w:rsid w:val="00917E28"/>
    <w:rsid w:val="009216EC"/>
    <w:rsid w:val="009218D3"/>
    <w:rsid w:val="00921EE1"/>
    <w:rsid w:val="00922EAE"/>
    <w:rsid w:val="009250E6"/>
    <w:rsid w:val="00925A7A"/>
    <w:rsid w:val="00925AA5"/>
    <w:rsid w:val="00927C10"/>
    <w:rsid w:val="00927D46"/>
    <w:rsid w:val="00927DCF"/>
    <w:rsid w:val="009330DE"/>
    <w:rsid w:val="009337C9"/>
    <w:rsid w:val="0093540D"/>
    <w:rsid w:val="0093552B"/>
    <w:rsid w:val="00937A64"/>
    <w:rsid w:val="0094019D"/>
    <w:rsid w:val="00940C76"/>
    <w:rsid w:val="0094179C"/>
    <w:rsid w:val="00942733"/>
    <w:rsid w:val="00942B80"/>
    <w:rsid w:val="00942C11"/>
    <w:rsid w:val="00943442"/>
    <w:rsid w:val="0094351F"/>
    <w:rsid w:val="009436DD"/>
    <w:rsid w:val="00952E43"/>
    <w:rsid w:val="009539B3"/>
    <w:rsid w:val="009547F8"/>
    <w:rsid w:val="00954A14"/>
    <w:rsid w:val="00954D00"/>
    <w:rsid w:val="009566FA"/>
    <w:rsid w:val="0095747F"/>
    <w:rsid w:val="009618F7"/>
    <w:rsid w:val="00962ACF"/>
    <w:rsid w:val="009651F1"/>
    <w:rsid w:val="009659AC"/>
    <w:rsid w:val="00965AA5"/>
    <w:rsid w:val="00967B61"/>
    <w:rsid w:val="00971398"/>
    <w:rsid w:val="00971714"/>
    <w:rsid w:val="009729D4"/>
    <w:rsid w:val="0097609D"/>
    <w:rsid w:val="00980759"/>
    <w:rsid w:val="00980AB1"/>
    <w:rsid w:val="009817B0"/>
    <w:rsid w:val="0098188A"/>
    <w:rsid w:val="009821CE"/>
    <w:rsid w:val="00984051"/>
    <w:rsid w:val="009841AB"/>
    <w:rsid w:val="00984E9E"/>
    <w:rsid w:val="00987531"/>
    <w:rsid w:val="00987C60"/>
    <w:rsid w:val="009901D2"/>
    <w:rsid w:val="00991B02"/>
    <w:rsid w:val="00991F89"/>
    <w:rsid w:val="0099303B"/>
    <w:rsid w:val="00995F4B"/>
    <w:rsid w:val="009968CE"/>
    <w:rsid w:val="009978B8"/>
    <w:rsid w:val="009A0EE8"/>
    <w:rsid w:val="009A1862"/>
    <w:rsid w:val="009A198F"/>
    <w:rsid w:val="009A1C6D"/>
    <w:rsid w:val="009A222D"/>
    <w:rsid w:val="009A277C"/>
    <w:rsid w:val="009A27FC"/>
    <w:rsid w:val="009A3428"/>
    <w:rsid w:val="009A4EAD"/>
    <w:rsid w:val="009A4F6E"/>
    <w:rsid w:val="009A5B3A"/>
    <w:rsid w:val="009A6159"/>
    <w:rsid w:val="009A658F"/>
    <w:rsid w:val="009A65CD"/>
    <w:rsid w:val="009B088F"/>
    <w:rsid w:val="009B2249"/>
    <w:rsid w:val="009B23F3"/>
    <w:rsid w:val="009B2D02"/>
    <w:rsid w:val="009B47FB"/>
    <w:rsid w:val="009B65D4"/>
    <w:rsid w:val="009B7337"/>
    <w:rsid w:val="009C0B48"/>
    <w:rsid w:val="009C31A9"/>
    <w:rsid w:val="009C39A0"/>
    <w:rsid w:val="009C4692"/>
    <w:rsid w:val="009C560F"/>
    <w:rsid w:val="009C6269"/>
    <w:rsid w:val="009C68A6"/>
    <w:rsid w:val="009C732C"/>
    <w:rsid w:val="009D2CFF"/>
    <w:rsid w:val="009D2D83"/>
    <w:rsid w:val="009D2F2C"/>
    <w:rsid w:val="009D3B68"/>
    <w:rsid w:val="009D4DE6"/>
    <w:rsid w:val="009D5634"/>
    <w:rsid w:val="009D5672"/>
    <w:rsid w:val="009E005E"/>
    <w:rsid w:val="009E04E4"/>
    <w:rsid w:val="009E0CA5"/>
    <w:rsid w:val="009E171B"/>
    <w:rsid w:val="009E17F9"/>
    <w:rsid w:val="009E2EC1"/>
    <w:rsid w:val="009E3502"/>
    <w:rsid w:val="009E3AD8"/>
    <w:rsid w:val="009E49D4"/>
    <w:rsid w:val="009E52E2"/>
    <w:rsid w:val="009E7F0B"/>
    <w:rsid w:val="009F0226"/>
    <w:rsid w:val="009F14FF"/>
    <w:rsid w:val="009F3756"/>
    <w:rsid w:val="009F38F4"/>
    <w:rsid w:val="009F4031"/>
    <w:rsid w:val="009F45DA"/>
    <w:rsid w:val="009F6718"/>
    <w:rsid w:val="00A00436"/>
    <w:rsid w:val="00A015E8"/>
    <w:rsid w:val="00A023C5"/>
    <w:rsid w:val="00A03F02"/>
    <w:rsid w:val="00A05B4F"/>
    <w:rsid w:val="00A06A78"/>
    <w:rsid w:val="00A07D47"/>
    <w:rsid w:val="00A10593"/>
    <w:rsid w:val="00A12B85"/>
    <w:rsid w:val="00A12F62"/>
    <w:rsid w:val="00A14FE9"/>
    <w:rsid w:val="00A15D13"/>
    <w:rsid w:val="00A165E2"/>
    <w:rsid w:val="00A209B6"/>
    <w:rsid w:val="00A21B26"/>
    <w:rsid w:val="00A237C1"/>
    <w:rsid w:val="00A24911"/>
    <w:rsid w:val="00A2640B"/>
    <w:rsid w:val="00A2699D"/>
    <w:rsid w:val="00A26BCE"/>
    <w:rsid w:val="00A27C76"/>
    <w:rsid w:val="00A3064A"/>
    <w:rsid w:val="00A31F5A"/>
    <w:rsid w:val="00A322D7"/>
    <w:rsid w:val="00A33202"/>
    <w:rsid w:val="00A34049"/>
    <w:rsid w:val="00A3749B"/>
    <w:rsid w:val="00A37C82"/>
    <w:rsid w:val="00A37D87"/>
    <w:rsid w:val="00A41F78"/>
    <w:rsid w:val="00A41F9B"/>
    <w:rsid w:val="00A4209E"/>
    <w:rsid w:val="00A437AA"/>
    <w:rsid w:val="00A4576B"/>
    <w:rsid w:val="00A4585B"/>
    <w:rsid w:val="00A46F2A"/>
    <w:rsid w:val="00A4797D"/>
    <w:rsid w:val="00A50D88"/>
    <w:rsid w:val="00A51939"/>
    <w:rsid w:val="00A52137"/>
    <w:rsid w:val="00A54122"/>
    <w:rsid w:val="00A54494"/>
    <w:rsid w:val="00A545C2"/>
    <w:rsid w:val="00A54654"/>
    <w:rsid w:val="00A560A4"/>
    <w:rsid w:val="00A56923"/>
    <w:rsid w:val="00A569A2"/>
    <w:rsid w:val="00A61EF8"/>
    <w:rsid w:val="00A62E42"/>
    <w:rsid w:val="00A64A71"/>
    <w:rsid w:val="00A64D42"/>
    <w:rsid w:val="00A65143"/>
    <w:rsid w:val="00A65CD3"/>
    <w:rsid w:val="00A66EBB"/>
    <w:rsid w:val="00A70B08"/>
    <w:rsid w:val="00A71597"/>
    <w:rsid w:val="00A71CCD"/>
    <w:rsid w:val="00A7236C"/>
    <w:rsid w:val="00A72960"/>
    <w:rsid w:val="00A72D8F"/>
    <w:rsid w:val="00A730C5"/>
    <w:rsid w:val="00A735E3"/>
    <w:rsid w:val="00A73BCF"/>
    <w:rsid w:val="00A74815"/>
    <w:rsid w:val="00A760FF"/>
    <w:rsid w:val="00A80846"/>
    <w:rsid w:val="00A80DD8"/>
    <w:rsid w:val="00A81862"/>
    <w:rsid w:val="00A827AC"/>
    <w:rsid w:val="00A85C01"/>
    <w:rsid w:val="00A871AF"/>
    <w:rsid w:val="00A87BA7"/>
    <w:rsid w:val="00A9134C"/>
    <w:rsid w:val="00A9192B"/>
    <w:rsid w:val="00A92152"/>
    <w:rsid w:val="00A93401"/>
    <w:rsid w:val="00A93BD4"/>
    <w:rsid w:val="00A95972"/>
    <w:rsid w:val="00A96F83"/>
    <w:rsid w:val="00A97160"/>
    <w:rsid w:val="00AA02F6"/>
    <w:rsid w:val="00AA219A"/>
    <w:rsid w:val="00AA25E7"/>
    <w:rsid w:val="00AA3FD8"/>
    <w:rsid w:val="00AA438D"/>
    <w:rsid w:val="00AA589E"/>
    <w:rsid w:val="00AA5E2F"/>
    <w:rsid w:val="00AA744D"/>
    <w:rsid w:val="00AA7A09"/>
    <w:rsid w:val="00AB1874"/>
    <w:rsid w:val="00AB223D"/>
    <w:rsid w:val="00AB4243"/>
    <w:rsid w:val="00AB5B3C"/>
    <w:rsid w:val="00AB675E"/>
    <w:rsid w:val="00AB738A"/>
    <w:rsid w:val="00AC06EB"/>
    <w:rsid w:val="00AC1015"/>
    <w:rsid w:val="00AC1623"/>
    <w:rsid w:val="00AC3196"/>
    <w:rsid w:val="00AC4065"/>
    <w:rsid w:val="00AC5892"/>
    <w:rsid w:val="00AD2084"/>
    <w:rsid w:val="00AD2178"/>
    <w:rsid w:val="00AD24BF"/>
    <w:rsid w:val="00AD2543"/>
    <w:rsid w:val="00AD2701"/>
    <w:rsid w:val="00AD7E33"/>
    <w:rsid w:val="00AE1E26"/>
    <w:rsid w:val="00AE2F90"/>
    <w:rsid w:val="00AE3F33"/>
    <w:rsid w:val="00AE4749"/>
    <w:rsid w:val="00AE5DBB"/>
    <w:rsid w:val="00AE5E2C"/>
    <w:rsid w:val="00AE6A2B"/>
    <w:rsid w:val="00AF2637"/>
    <w:rsid w:val="00AF3DC2"/>
    <w:rsid w:val="00AF3E8B"/>
    <w:rsid w:val="00AF4240"/>
    <w:rsid w:val="00B00CFF"/>
    <w:rsid w:val="00B023A4"/>
    <w:rsid w:val="00B03861"/>
    <w:rsid w:val="00B03DD6"/>
    <w:rsid w:val="00B041FD"/>
    <w:rsid w:val="00B1472B"/>
    <w:rsid w:val="00B15EA6"/>
    <w:rsid w:val="00B16F41"/>
    <w:rsid w:val="00B2050A"/>
    <w:rsid w:val="00B214C6"/>
    <w:rsid w:val="00B21776"/>
    <w:rsid w:val="00B23075"/>
    <w:rsid w:val="00B23CC6"/>
    <w:rsid w:val="00B243DE"/>
    <w:rsid w:val="00B25584"/>
    <w:rsid w:val="00B30844"/>
    <w:rsid w:val="00B3215C"/>
    <w:rsid w:val="00B33058"/>
    <w:rsid w:val="00B339B8"/>
    <w:rsid w:val="00B34284"/>
    <w:rsid w:val="00B345FC"/>
    <w:rsid w:val="00B34CF2"/>
    <w:rsid w:val="00B3583B"/>
    <w:rsid w:val="00B37A8F"/>
    <w:rsid w:val="00B4410E"/>
    <w:rsid w:val="00B47FB5"/>
    <w:rsid w:val="00B5030A"/>
    <w:rsid w:val="00B51E98"/>
    <w:rsid w:val="00B52449"/>
    <w:rsid w:val="00B5398E"/>
    <w:rsid w:val="00B539AD"/>
    <w:rsid w:val="00B5492F"/>
    <w:rsid w:val="00B55A3B"/>
    <w:rsid w:val="00B55B04"/>
    <w:rsid w:val="00B57CBA"/>
    <w:rsid w:val="00B57DF8"/>
    <w:rsid w:val="00B60479"/>
    <w:rsid w:val="00B61088"/>
    <w:rsid w:val="00B614F7"/>
    <w:rsid w:val="00B615DB"/>
    <w:rsid w:val="00B63F01"/>
    <w:rsid w:val="00B64168"/>
    <w:rsid w:val="00B65331"/>
    <w:rsid w:val="00B65347"/>
    <w:rsid w:val="00B65DE1"/>
    <w:rsid w:val="00B6634E"/>
    <w:rsid w:val="00B66783"/>
    <w:rsid w:val="00B6687C"/>
    <w:rsid w:val="00B70408"/>
    <w:rsid w:val="00B70A2E"/>
    <w:rsid w:val="00B72AF0"/>
    <w:rsid w:val="00B72E81"/>
    <w:rsid w:val="00B7324E"/>
    <w:rsid w:val="00B737EB"/>
    <w:rsid w:val="00B74C88"/>
    <w:rsid w:val="00B75B80"/>
    <w:rsid w:val="00B76138"/>
    <w:rsid w:val="00B7708F"/>
    <w:rsid w:val="00B775EE"/>
    <w:rsid w:val="00B77720"/>
    <w:rsid w:val="00B805A6"/>
    <w:rsid w:val="00B82C29"/>
    <w:rsid w:val="00B85BC7"/>
    <w:rsid w:val="00B8741E"/>
    <w:rsid w:val="00B877C8"/>
    <w:rsid w:val="00B878A5"/>
    <w:rsid w:val="00B87927"/>
    <w:rsid w:val="00B91749"/>
    <w:rsid w:val="00B91C34"/>
    <w:rsid w:val="00B94680"/>
    <w:rsid w:val="00B958E1"/>
    <w:rsid w:val="00B96BAC"/>
    <w:rsid w:val="00B97308"/>
    <w:rsid w:val="00BA1525"/>
    <w:rsid w:val="00BA37EA"/>
    <w:rsid w:val="00BA619B"/>
    <w:rsid w:val="00BB00F3"/>
    <w:rsid w:val="00BB314A"/>
    <w:rsid w:val="00BB34AF"/>
    <w:rsid w:val="00BB378F"/>
    <w:rsid w:val="00BC05A6"/>
    <w:rsid w:val="00BC1B0F"/>
    <w:rsid w:val="00BC501C"/>
    <w:rsid w:val="00BC65B6"/>
    <w:rsid w:val="00BC6E69"/>
    <w:rsid w:val="00BD0025"/>
    <w:rsid w:val="00BD082E"/>
    <w:rsid w:val="00BD0EAC"/>
    <w:rsid w:val="00BD1324"/>
    <w:rsid w:val="00BD199B"/>
    <w:rsid w:val="00BD26AA"/>
    <w:rsid w:val="00BD2B12"/>
    <w:rsid w:val="00BD454F"/>
    <w:rsid w:val="00BD4718"/>
    <w:rsid w:val="00BD4BDF"/>
    <w:rsid w:val="00BD659D"/>
    <w:rsid w:val="00BD65BC"/>
    <w:rsid w:val="00BD780B"/>
    <w:rsid w:val="00BE1241"/>
    <w:rsid w:val="00BE1700"/>
    <w:rsid w:val="00BE419A"/>
    <w:rsid w:val="00BE4868"/>
    <w:rsid w:val="00BE4F80"/>
    <w:rsid w:val="00BE6974"/>
    <w:rsid w:val="00BE6FB3"/>
    <w:rsid w:val="00BE7EA5"/>
    <w:rsid w:val="00BF17F7"/>
    <w:rsid w:val="00BF5445"/>
    <w:rsid w:val="00BF68D0"/>
    <w:rsid w:val="00C01DCC"/>
    <w:rsid w:val="00C02FB0"/>
    <w:rsid w:val="00C074CD"/>
    <w:rsid w:val="00C10E7A"/>
    <w:rsid w:val="00C1114E"/>
    <w:rsid w:val="00C1303C"/>
    <w:rsid w:val="00C13816"/>
    <w:rsid w:val="00C14B78"/>
    <w:rsid w:val="00C15694"/>
    <w:rsid w:val="00C15D47"/>
    <w:rsid w:val="00C162E0"/>
    <w:rsid w:val="00C176BD"/>
    <w:rsid w:val="00C202B3"/>
    <w:rsid w:val="00C20493"/>
    <w:rsid w:val="00C21A11"/>
    <w:rsid w:val="00C21EE0"/>
    <w:rsid w:val="00C24851"/>
    <w:rsid w:val="00C25C86"/>
    <w:rsid w:val="00C26EE8"/>
    <w:rsid w:val="00C30297"/>
    <w:rsid w:val="00C30473"/>
    <w:rsid w:val="00C321F6"/>
    <w:rsid w:val="00C324DB"/>
    <w:rsid w:val="00C327EF"/>
    <w:rsid w:val="00C32A11"/>
    <w:rsid w:val="00C33451"/>
    <w:rsid w:val="00C33928"/>
    <w:rsid w:val="00C352EE"/>
    <w:rsid w:val="00C354D1"/>
    <w:rsid w:val="00C35CA7"/>
    <w:rsid w:val="00C36133"/>
    <w:rsid w:val="00C37077"/>
    <w:rsid w:val="00C3717A"/>
    <w:rsid w:val="00C37C8F"/>
    <w:rsid w:val="00C4762A"/>
    <w:rsid w:val="00C47B81"/>
    <w:rsid w:val="00C47E30"/>
    <w:rsid w:val="00C5027A"/>
    <w:rsid w:val="00C50B48"/>
    <w:rsid w:val="00C51529"/>
    <w:rsid w:val="00C51F3F"/>
    <w:rsid w:val="00C52306"/>
    <w:rsid w:val="00C530F8"/>
    <w:rsid w:val="00C551A2"/>
    <w:rsid w:val="00C555AC"/>
    <w:rsid w:val="00C55FE9"/>
    <w:rsid w:val="00C56976"/>
    <w:rsid w:val="00C608CD"/>
    <w:rsid w:val="00C60B0F"/>
    <w:rsid w:val="00C63671"/>
    <w:rsid w:val="00C66050"/>
    <w:rsid w:val="00C675A0"/>
    <w:rsid w:val="00C67D64"/>
    <w:rsid w:val="00C713ED"/>
    <w:rsid w:val="00C72318"/>
    <w:rsid w:val="00C724E6"/>
    <w:rsid w:val="00C73F54"/>
    <w:rsid w:val="00C747A5"/>
    <w:rsid w:val="00C755B2"/>
    <w:rsid w:val="00C75EA2"/>
    <w:rsid w:val="00C77211"/>
    <w:rsid w:val="00C77AD5"/>
    <w:rsid w:val="00C826E7"/>
    <w:rsid w:val="00C82D8E"/>
    <w:rsid w:val="00C8306D"/>
    <w:rsid w:val="00C83366"/>
    <w:rsid w:val="00C840E6"/>
    <w:rsid w:val="00C85152"/>
    <w:rsid w:val="00C85314"/>
    <w:rsid w:val="00C85357"/>
    <w:rsid w:val="00C85F6B"/>
    <w:rsid w:val="00C87785"/>
    <w:rsid w:val="00C90936"/>
    <w:rsid w:val="00C920E6"/>
    <w:rsid w:val="00C926A4"/>
    <w:rsid w:val="00C93E71"/>
    <w:rsid w:val="00C94477"/>
    <w:rsid w:val="00C964E0"/>
    <w:rsid w:val="00C96C97"/>
    <w:rsid w:val="00C973A8"/>
    <w:rsid w:val="00CA0116"/>
    <w:rsid w:val="00CA058F"/>
    <w:rsid w:val="00CA1173"/>
    <w:rsid w:val="00CA278A"/>
    <w:rsid w:val="00CA3788"/>
    <w:rsid w:val="00CA37E0"/>
    <w:rsid w:val="00CA467A"/>
    <w:rsid w:val="00CA4BC0"/>
    <w:rsid w:val="00CA4F61"/>
    <w:rsid w:val="00CA5CA8"/>
    <w:rsid w:val="00CA72DB"/>
    <w:rsid w:val="00CB0157"/>
    <w:rsid w:val="00CB1CE0"/>
    <w:rsid w:val="00CB2278"/>
    <w:rsid w:val="00CB28E9"/>
    <w:rsid w:val="00CB2B65"/>
    <w:rsid w:val="00CB3EEF"/>
    <w:rsid w:val="00CB4694"/>
    <w:rsid w:val="00CB500D"/>
    <w:rsid w:val="00CB5205"/>
    <w:rsid w:val="00CB5D67"/>
    <w:rsid w:val="00CB60B7"/>
    <w:rsid w:val="00CB6F41"/>
    <w:rsid w:val="00CB70BA"/>
    <w:rsid w:val="00CB7C2E"/>
    <w:rsid w:val="00CC1B03"/>
    <w:rsid w:val="00CC248F"/>
    <w:rsid w:val="00CC2B13"/>
    <w:rsid w:val="00CC2F27"/>
    <w:rsid w:val="00CC38AC"/>
    <w:rsid w:val="00CC4865"/>
    <w:rsid w:val="00CC48F8"/>
    <w:rsid w:val="00CC559D"/>
    <w:rsid w:val="00CD0C13"/>
    <w:rsid w:val="00CD383D"/>
    <w:rsid w:val="00CD3D81"/>
    <w:rsid w:val="00CD42C7"/>
    <w:rsid w:val="00CD654B"/>
    <w:rsid w:val="00CE0535"/>
    <w:rsid w:val="00CE1275"/>
    <w:rsid w:val="00CE223E"/>
    <w:rsid w:val="00CE7DFA"/>
    <w:rsid w:val="00CF0633"/>
    <w:rsid w:val="00CF224D"/>
    <w:rsid w:val="00CF3F0D"/>
    <w:rsid w:val="00CF7B74"/>
    <w:rsid w:val="00CF7EA1"/>
    <w:rsid w:val="00D00F7E"/>
    <w:rsid w:val="00D01E61"/>
    <w:rsid w:val="00D0497B"/>
    <w:rsid w:val="00D101F7"/>
    <w:rsid w:val="00D135B7"/>
    <w:rsid w:val="00D145F5"/>
    <w:rsid w:val="00D156C1"/>
    <w:rsid w:val="00D1672D"/>
    <w:rsid w:val="00D16C87"/>
    <w:rsid w:val="00D22955"/>
    <w:rsid w:val="00D24EFA"/>
    <w:rsid w:val="00D26DFD"/>
    <w:rsid w:val="00D303FB"/>
    <w:rsid w:val="00D3163B"/>
    <w:rsid w:val="00D316A1"/>
    <w:rsid w:val="00D3285B"/>
    <w:rsid w:val="00D329F1"/>
    <w:rsid w:val="00D33C1D"/>
    <w:rsid w:val="00D33C67"/>
    <w:rsid w:val="00D355F0"/>
    <w:rsid w:val="00D4210B"/>
    <w:rsid w:val="00D43AC8"/>
    <w:rsid w:val="00D469B2"/>
    <w:rsid w:val="00D50222"/>
    <w:rsid w:val="00D50879"/>
    <w:rsid w:val="00D51610"/>
    <w:rsid w:val="00D52F2C"/>
    <w:rsid w:val="00D532CF"/>
    <w:rsid w:val="00D53493"/>
    <w:rsid w:val="00D54098"/>
    <w:rsid w:val="00D5441A"/>
    <w:rsid w:val="00D54F46"/>
    <w:rsid w:val="00D56113"/>
    <w:rsid w:val="00D56313"/>
    <w:rsid w:val="00D611C5"/>
    <w:rsid w:val="00D6125F"/>
    <w:rsid w:val="00D62BB5"/>
    <w:rsid w:val="00D62FD3"/>
    <w:rsid w:val="00D630F1"/>
    <w:rsid w:val="00D6417B"/>
    <w:rsid w:val="00D643F4"/>
    <w:rsid w:val="00D657BE"/>
    <w:rsid w:val="00D6622F"/>
    <w:rsid w:val="00D71C28"/>
    <w:rsid w:val="00D72219"/>
    <w:rsid w:val="00D72E0A"/>
    <w:rsid w:val="00D741A0"/>
    <w:rsid w:val="00D75814"/>
    <w:rsid w:val="00D7756A"/>
    <w:rsid w:val="00D833D9"/>
    <w:rsid w:val="00D83BD9"/>
    <w:rsid w:val="00D8479D"/>
    <w:rsid w:val="00D91F36"/>
    <w:rsid w:val="00D92150"/>
    <w:rsid w:val="00D92218"/>
    <w:rsid w:val="00D92230"/>
    <w:rsid w:val="00D92FC9"/>
    <w:rsid w:val="00D94549"/>
    <w:rsid w:val="00D94DCF"/>
    <w:rsid w:val="00D94EAE"/>
    <w:rsid w:val="00D95B94"/>
    <w:rsid w:val="00DA01A0"/>
    <w:rsid w:val="00DA04B5"/>
    <w:rsid w:val="00DA5193"/>
    <w:rsid w:val="00DA586F"/>
    <w:rsid w:val="00DB08DA"/>
    <w:rsid w:val="00DB0FD6"/>
    <w:rsid w:val="00DB23A4"/>
    <w:rsid w:val="00DB33F7"/>
    <w:rsid w:val="00DB371A"/>
    <w:rsid w:val="00DB433C"/>
    <w:rsid w:val="00DB5204"/>
    <w:rsid w:val="00DB53FB"/>
    <w:rsid w:val="00DB5E34"/>
    <w:rsid w:val="00DB663F"/>
    <w:rsid w:val="00DB7F09"/>
    <w:rsid w:val="00DC00E8"/>
    <w:rsid w:val="00DC1389"/>
    <w:rsid w:val="00DC1C56"/>
    <w:rsid w:val="00DC2A5B"/>
    <w:rsid w:val="00DC358D"/>
    <w:rsid w:val="00DC3E9A"/>
    <w:rsid w:val="00DC4756"/>
    <w:rsid w:val="00DC4B78"/>
    <w:rsid w:val="00DC4BEA"/>
    <w:rsid w:val="00DC600B"/>
    <w:rsid w:val="00DC6379"/>
    <w:rsid w:val="00DC6AAD"/>
    <w:rsid w:val="00DD0609"/>
    <w:rsid w:val="00DD092C"/>
    <w:rsid w:val="00DD14D4"/>
    <w:rsid w:val="00DD44BD"/>
    <w:rsid w:val="00DD4BF2"/>
    <w:rsid w:val="00DD5E16"/>
    <w:rsid w:val="00DD6CEE"/>
    <w:rsid w:val="00DD73CC"/>
    <w:rsid w:val="00DE0092"/>
    <w:rsid w:val="00DE2763"/>
    <w:rsid w:val="00DE2CEF"/>
    <w:rsid w:val="00DE3049"/>
    <w:rsid w:val="00DE3A53"/>
    <w:rsid w:val="00DE3C77"/>
    <w:rsid w:val="00DE3F64"/>
    <w:rsid w:val="00DE5B0A"/>
    <w:rsid w:val="00DE5E4E"/>
    <w:rsid w:val="00DE6714"/>
    <w:rsid w:val="00DE70F1"/>
    <w:rsid w:val="00DF0A5B"/>
    <w:rsid w:val="00DF0BFD"/>
    <w:rsid w:val="00DF16C7"/>
    <w:rsid w:val="00DF20F2"/>
    <w:rsid w:val="00DF316C"/>
    <w:rsid w:val="00DF341D"/>
    <w:rsid w:val="00DF3B05"/>
    <w:rsid w:val="00DF44C3"/>
    <w:rsid w:val="00DF670C"/>
    <w:rsid w:val="00DF6F61"/>
    <w:rsid w:val="00E03934"/>
    <w:rsid w:val="00E042BB"/>
    <w:rsid w:val="00E04449"/>
    <w:rsid w:val="00E05DA9"/>
    <w:rsid w:val="00E06BEF"/>
    <w:rsid w:val="00E101C6"/>
    <w:rsid w:val="00E1074B"/>
    <w:rsid w:val="00E10B58"/>
    <w:rsid w:val="00E11877"/>
    <w:rsid w:val="00E13103"/>
    <w:rsid w:val="00E146CD"/>
    <w:rsid w:val="00E14BA1"/>
    <w:rsid w:val="00E16274"/>
    <w:rsid w:val="00E211A1"/>
    <w:rsid w:val="00E217CF"/>
    <w:rsid w:val="00E22331"/>
    <w:rsid w:val="00E22D51"/>
    <w:rsid w:val="00E2537F"/>
    <w:rsid w:val="00E2598F"/>
    <w:rsid w:val="00E271EE"/>
    <w:rsid w:val="00E27413"/>
    <w:rsid w:val="00E27C82"/>
    <w:rsid w:val="00E30CAE"/>
    <w:rsid w:val="00E30DCF"/>
    <w:rsid w:val="00E32A52"/>
    <w:rsid w:val="00E3327C"/>
    <w:rsid w:val="00E349A7"/>
    <w:rsid w:val="00E35148"/>
    <w:rsid w:val="00E355E4"/>
    <w:rsid w:val="00E4063E"/>
    <w:rsid w:val="00E40866"/>
    <w:rsid w:val="00E411C5"/>
    <w:rsid w:val="00E412DD"/>
    <w:rsid w:val="00E429DA"/>
    <w:rsid w:val="00E440B3"/>
    <w:rsid w:val="00E445C4"/>
    <w:rsid w:val="00E4534A"/>
    <w:rsid w:val="00E50E7C"/>
    <w:rsid w:val="00E51545"/>
    <w:rsid w:val="00E51D9E"/>
    <w:rsid w:val="00E51ED1"/>
    <w:rsid w:val="00E537D1"/>
    <w:rsid w:val="00E53C3E"/>
    <w:rsid w:val="00E567E6"/>
    <w:rsid w:val="00E56971"/>
    <w:rsid w:val="00E57DC2"/>
    <w:rsid w:val="00E61484"/>
    <w:rsid w:val="00E617F9"/>
    <w:rsid w:val="00E62204"/>
    <w:rsid w:val="00E625E6"/>
    <w:rsid w:val="00E631EC"/>
    <w:rsid w:val="00E634B1"/>
    <w:rsid w:val="00E63ACD"/>
    <w:rsid w:val="00E63E9B"/>
    <w:rsid w:val="00E64827"/>
    <w:rsid w:val="00E65A2F"/>
    <w:rsid w:val="00E65C77"/>
    <w:rsid w:val="00E7017C"/>
    <w:rsid w:val="00E711D7"/>
    <w:rsid w:val="00E71B87"/>
    <w:rsid w:val="00E71BCE"/>
    <w:rsid w:val="00E750CB"/>
    <w:rsid w:val="00E76C62"/>
    <w:rsid w:val="00E76E6E"/>
    <w:rsid w:val="00E77256"/>
    <w:rsid w:val="00E7728A"/>
    <w:rsid w:val="00E80145"/>
    <w:rsid w:val="00E815E1"/>
    <w:rsid w:val="00E818B4"/>
    <w:rsid w:val="00E81E31"/>
    <w:rsid w:val="00E825FB"/>
    <w:rsid w:val="00E846DE"/>
    <w:rsid w:val="00E85333"/>
    <w:rsid w:val="00E86452"/>
    <w:rsid w:val="00E87757"/>
    <w:rsid w:val="00E902B0"/>
    <w:rsid w:val="00E902E8"/>
    <w:rsid w:val="00E9075D"/>
    <w:rsid w:val="00E90D3D"/>
    <w:rsid w:val="00E91626"/>
    <w:rsid w:val="00E91746"/>
    <w:rsid w:val="00E92004"/>
    <w:rsid w:val="00E9296B"/>
    <w:rsid w:val="00E95067"/>
    <w:rsid w:val="00E9525A"/>
    <w:rsid w:val="00E9737E"/>
    <w:rsid w:val="00E97413"/>
    <w:rsid w:val="00E97C19"/>
    <w:rsid w:val="00EA1229"/>
    <w:rsid w:val="00EA1E59"/>
    <w:rsid w:val="00EA1F64"/>
    <w:rsid w:val="00EA23AC"/>
    <w:rsid w:val="00EA23BE"/>
    <w:rsid w:val="00EA375A"/>
    <w:rsid w:val="00EA398F"/>
    <w:rsid w:val="00EA4EF1"/>
    <w:rsid w:val="00EA5A21"/>
    <w:rsid w:val="00EA6804"/>
    <w:rsid w:val="00EA7C3D"/>
    <w:rsid w:val="00EA7CE0"/>
    <w:rsid w:val="00EB014F"/>
    <w:rsid w:val="00EB0A8F"/>
    <w:rsid w:val="00EB2F76"/>
    <w:rsid w:val="00EB3255"/>
    <w:rsid w:val="00EB3E2D"/>
    <w:rsid w:val="00EB4B0B"/>
    <w:rsid w:val="00EB59F9"/>
    <w:rsid w:val="00EB6878"/>
    <w:rsid w:val="00EB6E86"/>
    <w:rsid w:val="00EC1E0E"/>
    <w:rsid w:val="00EC236D"/>
    <w:rsid w:val="00EC3E72"/>
    <w:rsid w:val="00EC4E75"/>
    <w:rsid w:val="00EC5902"/>
    <w:rsid w:val="00EC6050"/>
    <w:rsid w:val="00EC6B16"/>
    <w:rsid w:val="00EC6C52"/>
    <w:rsid w:val="00EC6EA4"/>
    <w:rsid w:val="00EC786E"/>
    <w:rsid w:val="00ED0024"/>
    <w:rsid w:val="00ED07F4"/>
    <w:rsid w:val="00ED09CF"/>
    <w:rsid w:val="00ED19DF"/>
    <w:rsid w:val="00ED4AF6"/>
    <w:rsid w:val="00ED5530"/>
    <w:rsid w:val="00ED5A20"/>
    <w:rsid w:val="00ED6A26"/>
    <w:rsid w:val="00EE094B"/>
    <w:rsid w:val="00EE1447"/>
    <w:rsid w:val="00EE17BF"/>
    <w:rsid w:val="00EE1BF1"/>
    <w:rsid w:val="00EE1F22"/>
    <w:rsid w:val="00EE2F1F"/>
    <w:rsid w:val="00EE30A7"/>
    <w:rsid w:val="00EE41B2"/>
    <w:rsid w:val="00EE4864"/>
    <w:rsid w:val="00EE63D9"/>
    <w:rsid w:val="00EE63FE"/>
    <w:rsid w:val="00EE65D8"/>
    <w:rsid w:val="00EE7744"/>
    <w:rsid w:val="00EF03E1"/>
    <w:rsid w:val="00EF145E"/>
    <w:rsid w:val="00EF2BBB"/>
    <w:rsid w:val="00EF2F6F"/>
    <w:rsid w:val="00EF659C"/>
    <w:rsid w:val="00F0011D"/>
    <w:rsid w:val="00F0082D"/>
    <w:rsid w:val="00F00F04"/>
    <w:rsid w:val="00F015AB"/>
    <w:rsid w:val="00F01D66"/>
    <w:rsid w:val="00F021B8"/>
    <w:rsid w:val="00F02C9D"/>
    <w:rsid w:val="00F034CB"/>
    <w:rsid w:val="00F038E2"/>
    <w:rsid w:val="00F045E0"/>
    <w:rsid w:val="00F048C1"/>
    <w:rsid w:val="00F062A0"/>
    <w:rsid w:val="00F07C90"/>
    <w:rsid w:val="00F103BD"/>
    <w:rsid w:val="00F106FA"/>
    <w:rsid w:val="00F11350"/>
    <w:rsid w:val="00F11922"/>
    <w:rsid w:val="00F1243F"/>
    <w:rsid w:val="00F20F8A"/>
    <w:rsid w:val="00F21FF4"/>
    <w:rsid w:val="00F23347"/>
    <w:rsid w:val="00F24C17"/>
    <w:rsid w:val="00F27B67"/>
    <w:rsid w:val="00F304A4"/>
    <w:rsid w:val="00F33DB8"/>
    <w:rsid w:val="00F36237"/>
    <w:rsid w:val="00F36C22"/>
    <w:rsid w:val="00F37A70"/>
    <w:rsid w:val="00F422E5"/>
    <w:rsid w:val="00F44069"/>
    <w:rsid w:val="00F45206"/>
    <w:rsid w:val="00F47843"/>
    <w:rsid w:val="00F478DE"/>
    <w:rsid w:val="00F50A74"/>
    <w:rsid w:val="00F514FB"/>
    <w:rsid w:val="00F51D7F"/>
    <w:rsid w:val="00F520DE"/>
    <w:rsid w:val="00F534DA"/>
    <w:rsid w:val="00F55C64"/>
    <w:rsid w:val="00F57126"/>
    <w:rsid w:val="00F57B32"/>
    <w:rsid w:val="00F57BED"/>
    <w:rsid w:val="00F60198"/>
    <w:rsid w:val="00F6093D"/>
    <w:rsid w:val="00F60FA5"/>
    <w:rsid w:val="00F61AED"/>
    <w:rsid w:val="00F629FA"/>
    <w:rsid w:val="00F669CD"/>
    <w:rsid w:val="00F672EC"/>
    <w:rsid w:val="00F708AA"/>
    <w:rsid w:val="00F70C9B"/>
    <w:rsid w:val="00F718B8"/>
    <w:rsid w:val="00F72E8A"/>
    <w:rsid w:val="00F73371"/>
    <w:rsid w:val="00F733C6"/>
    <w:rsid w:val="00F737DB"/>
    <w:rsid w:val="00F73BCE"/>
    <w:rsid w:val="00F74BBF"/>
    <w:rsid w:val="00F74D54"/>
    <w:rsid w:val="00F7613A"/>
    <w:rsid w:val="00F807BB"/>
    <w:rsid w:val="00F817DA"/>
    <w:rsid w:val="00F82746"/>
    <w:rsid w:val="00F836F9"/>
    <w:rsid w:val="00F83853"/>
    <w:rsid w:val="00F845D7"/>
    <w:rsid w:val="00F90304"/>
    <w:rsid w:val="00F92279"/>
    <w:rsid w:val="00F95321"/>
    <w:rsid w:val="00F95C0B"/>
    <w:rsid w:val="00F968CD"/>
    <w:rsid w:val="00FA0F6F"/>
    <w:rsid w:val="00FA14E0"/>
    <w:rsid w:val="00FA184B"/>
    <w:rsid w:val="00FA6B91"/>
    <w:rsid w:val="00FA71FD"/>
    <w:rsid w:val="00FB045B"/>
    <w:rsid w:val="00FB4D21"/>
    <w:rsid w:val="00FB6AF1"/>
    <w:rsid w:val="00FB6EF8"/>
    <w:rsid w:val="00FB762B"/>
    <w:rsid w:val="00FC029E"/>
    <w:rsid w:val="00FC0ABA"/>
    <w:rsid w:val="00FC2D43"/>
    <w:rsid w:val="00FC39AC"/>
    <w:rsid w:val="00FC3FE4"/>
    <w:rsid w:val="00FC5103"/>
    <w:rsid w:val="00FC6ADA"/>
    <w:rsid w:val="00FC6BAB"/>
    <w:rsid w:val="00FD06A6"/>
    <w:rsid w:val="00FD10C4"/>
    <w:rsid w:val="00FD1267"/>
    <w:rsid w:val="00FD2629"/>
    <w:rsid w:val="00FD2E46"/>
    <w:rsid w:val="00FD3EF6"/>
    <w:rsid w:val="00FD5096"/>
    <w:rsid w:val="00FD7CE1"/>
    <w:rsid w:val="00FE274D"/>
    <w:rsid w:val="00FE3E79"/>
    <w:rsid w:val="00FE4102"/>
    <w:rsid w:val="00FE4698"/>
    <w:rsid w:val="00FE57CD"/>
    <w:rsid w:val="00FE5F41"/>
    <w:rsid w:val="00FF1D56"/>
    <w:rsid w:val="00FF1F5A"/>
    <w:rsid w:val="00FF477B"/>
    <w:rsid w:val="00FF7EE9"/>
    <w:rsid w:val="0365E32D"/>
    <w:rsid w:val="0432505D"/>
    <w:rsid w:val="0D90F41F"/>
    <w:rsid w:val="1FD19687"/>
    <w:rsid w:val="2B43C922"/>
    <w:rsid w:val="32481445"/>
    <w:rsid w:val="3CA45232"/>
    <w:rsid w:val="3F842EF5"/>
    <w:rsid w:val="418B68C6"/>
    <w:rsid w:val="4B05805B"/>
    <w:rsid w:val="5143FB20"/>
    <w:rsid w:val="5ACEC0AB"/>
    <w:rsid w:val="60A41143"/>
    <w:rsid w:val="79132786"/>
    <w:rsid w:val="7D236D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9819BD"/>
  <w15:docId w15:val="{6CF0A960-888D-481E-86AC-AF3E7C88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32"/>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 + line Char Char,b Char,b Char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qFormat/>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4"/>
      </w:numPr>
      <w:spacing w:before="120" w:after="60" w:line="276" w:lineRule="auto"/>
    </w:pPr>
  </w:style>
  <w:style w:type="paragraph" w:customStyle="1" w:styleId="ChartandTableFootnoteAlpha">
    <w:name w:val="Chart and Table Footnote Alpha"/>
    <w:rsid w:val="0039150C"/>
    <w:pPr>
      <w:numPr>
        <w:numId w:val="6"/>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39150C"/>
  </w:style>
  <w:style w:type="paragraph" w:customStyle="1" w:styleId="ChartorTableNote">
    <w:name w:val="Chart or Table Note"/>
    <w:next w:val="Normal"/>
    <w:qFormat/>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000000" w:themeColor="text2"/>
      <w:sz w:val="32"/>
    </w:rPr>
  </w:style>
  <w:style w:type="paragraph" w:customStyle="1" w:styleId="Dash">
    <w:name w:val="Dash"/>
    <w:basedOn w:val="Normal"/>
    <w:link w:val="DashChar"/>
    <w:qFormat/>
    <w:rsid w:val="00D54098"/>
    <w:pPr>
      <w:numPr>
        <w:ilvl w:val="1"/>
        <w:numId w:val="14"/>
      </w:numPr>
      <w:spacing w:before="120" w:after="120"/>
    </w:pPr>
  </w:style>
  <w:style w:type="paragraph" w:customStyle="1" w:styleId="DoubleDot">
    <w:name w:val="Double Dot"/>
    <w:basedOn w:val="Normal"/>
    <w:link w:val="DoubleDotChar"/>
    <w:qFormat/>
    <w:rsid w:val="00D54098"/>
    <w:pPr>
      <w:numPr>
        <w:ilvl w:val="2"/>
        <w:numId w:val="14"/>
      </w:numPr>
      <w:spacing w:before="120" w:after="120"/>
    </w:pPr>
  </w:style>
  <w:style w:type="paragraph" w:customStyle="1" w:styleId="TableMainHeading">
    <w:name w:val="Table Main Heading"/>
    <w:basedOn w:val="Heading3"/>
    <w:next w:val="Normal"/>
    <w:qFormat/>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5F5F5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5F5F5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000000"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0"/>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customStyle="1" w:styleId="Heading3noTOC">
    <w:name w:val="Heading 3 no TOC"/>
    <w:basedOn w:val="Heading3"/>
    <w:rsid w:val="00CA3788"/>
    <w:pPr>
      <w:spacing w:after="0"/>
    </w:pPr>
    <w:rPr>
      <w:rFonts w:ascii="Calibri" w:hAnsi="Calibri" w:cs="Calibri"/>
      <w:b/>
      <w:color w:val="B2B2B2" w:themeColor="accent2"/>
      <w:sz w:val="28"/>
    </w:rPr>
  </w:style>
  <w:style w:type="character" w:customStyle="1" w:styleId="normaltextrun">
    <w:name w:val="normaltextrun"/>
    <w:basedOn w:val="DefaultParagraphFont"/>
    <w:rsid w:val="00CA3788"/>
  </w:style>
  <w:style w:type="character" w:customStyle="1" w:styleId="eop">
    <w:name w:val="eop"/>
    <w:basedOn w:val="DefaultParagraphFont"/>
    <w:rsid w:val="00CA3788"/>
  </w:style>
  <w:style w:type="character" w:styleId="UnresolvedMention">
    <w:name w:val="Unresolved Mention"/>
    <w:basedOn w:val="DefaultParagraphFont"/>
    <w:uiPriority w:val="99"/>
    <w:semiHidden/>
    <w:unhideWhenUsed/>
    <w:rsid w:val="00E617F9"/>
    <w:rPr>
      <w:color w:val="605E5C"/>
      <w:shd w:val="clear" w:color="auto" w:fill="E1DFDD"/>
    </w:rPr>
  </w:style>
  <w:style w:type="paragraph" w:styleId="Revision">
    <w:name w:val="Revision"/>
    <w:hidden/>
    <w:uiPriority w:val="99"/>
    <w:semiHidden/>
    <w:rsid w:val="00671324"/>
    <w:pPr>
      <w:spacing w:after="0" w:line="240" w:lineRule="auto"/>
    </w:pPr>
    <w:rPr>
      <w:rFonts w:eastAsia="Times New Roman" w:cs="Times New Roman"/>
      <w:color w:val="000000" w:themeColor="text1"/>
      <w:szCs w:val="20"/>
      <w:lang w:eastAsia="en-AU"/>
    </w:rPr>
  </w:style>
  <w:style w:type="table" w:styleId="TableGridLight">
    <w:name w:val="Grid Table Light"/>
    <w:basedOn w:val="TableNormal"/>
    <w:uiPriority w:val="40"/>
    <w:rsid w:val="006863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OneLevelNumberedParagraph">
    <w:name w:val="One Level Numbered Paragraph"/>
    <w:basedOn w:val="Normal"/>
    <w:rsid w:val="0068631C"/>
    <w:pPr>
      <w:tabs>
        <w:tab w:val="num" w:pos="284"/>
        <w:tab w:val="num" w:pos="360"/>
      </w:tabs>
      <w:spacing w:before="0" w:after="120"/>
      <w:ind w:left="284" w:hanging="284"/>
    </w:pPr>
    <w:rPr>
      <w:rFonts w:ascii="Calibri Light" w:hAnsi="Calibri Light"/>
      <w:color w:val="auto"/>
    </w:rPr>
  </w:style>
  <w:style w:type="character" w:styleId="Strong">
    <w:name w:val="Strong"/>
    <w:basedOn w:val="DefaultParagraphFont"/>
    <w:uiPriority w:val="22"/>
    <w:qFormat/>
    <w:rsid w:val="0068631C"/>
    <w:rPr>
      <w:b/>
      <w:bCs/>
    </w:rPr>
  </w:style>
  <w:style w:type="paragraph" w:customStyle="1" w:styleId="paragraph">
    <w:name w:val="paragraph"/>
    <w:basedOn w:val="Normal"/>
    <w:rsid w:val="0068631C"/>
    <w:pPr>
      <w:spacing w:before="100" w:beforeAutospacing="1" w:after="100" w:afterAutospacing="1"/>
    </w:pPr>
    <w:rPr>
      <w:rFonts w:ascii="Times New Roman" w:hAnsi="Times New Roman"/>
      <w:color w:val="auto"/>
      <w:sz w:val="24"/>
      <w:szCs w:val="24"/>
    </w:rPr>
  </w:style>
  <w:style w:type="character" w:customStyle="1" w:styleId="superscript">
    <w:name w:val="superscript"/>
    <w:basedOn w:val="DefaultParagraphFont"/>
    <w:rsid w:val="0068631C"/>
  </w:style>
  <w:style w:type="character" w:styleId="FollowedHyperlink">
    <w:name w:val="FollowedHyperlink"/>
    <w:basedOn w:val="DefaultParagraphFont"/>
    <w:uiPriority w:val="99"/>
    <w:semiHidden/>
    <w:unhideWhenUsed/>
    <w:rsid w:val="0068631C"/>
    <w:rPr>
      <w:color w:val="919191" w:themeColor="followedHyperlink"/>
      <w:u w:val="single"/>
    </w:rPr>
  </w:style>
  <w:style w:type="character" w:styleId="Mention">
    <w:name w:val="Mention"/>
    <w:basedOn w:val="DefaultParagraphFont"/>
    <w:uiPriority w:val="99"/>
    <w:unhideWhenUsed/>
    <w:rsid w:val="0068631C"/>
    <w:rPr>
      <w:color w:val="2B579A"/>
      <w:shd w:val="clear" w:color="auto" w:fill="E6E6E6"/>
    </w:rPr>
  </w:style>
  <w:style w:type="character" w:customStyle="1" w:styleId="cf01">
    <w:name w:val="cf01"/>
    <w:basedOn w:val="DefaultParagraphFont"/>
    <w:rsid w:val="0068631C"/>
    <w:rPr>
      <w:rFonts w:ascii="Segoe UI" w:hAnsi="Segoe UI" w:cs="Segoe UI" w:hint="default"/>
      <w:sz w:val="18"/>
      <w:szCs w:val="18"/>
    </w:rPr>
  </w:style>
  <w:style w:type="table" w:customStyle="1" w:styleId="FoodandGrocery">
    <w:name w:val="Food and Grocery"/>
    <w:basedOn w:val="TableNormal"/>
    <w:uiPriority w:val="99"/>
    <w:rsid w:val="0068631C"/>
    <w:pPr>
      <w:spacing w:after="0" w:line="240" w:lineRule="auto"/>
    </w:pPr>
    <w:tblPr>
      <w:tblStyleRowBandSize w:val="1"/>
      <w:tblInd w:w="0" w:type="nil"/>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tblPr/>
      <w:tcPr>
        <w:shd w:val="clear" w:color="auto" w:fill="B2B2B2" w:themeFill="accent2"/>
      </w:tcPr>
    </w:tblStylePr>
    <w:tblStylePr w:type="band2Horz">
      <w:tblPr/>
      <w:tcPr>
        <w:shd w:val="clear" w:color="auto" w:fill="E5E5E5" w:themeFill="accent4" w:themeFillTint="33"/>
      </w:tcPr>
    </w:tblStylePr>
  </w:style>
  <w:style w:type="paragraph" w:customStyle="1" w:styleId="pf1">
    <w:name w:val="pf1"/>
    <w:basedOn w:val="Normal"/>
    <w:rsid w:val="0068631C"/>
    <w:pPr>
      <w:spacing w:before="100" w:beforeAutospacing="1" w:after="100" w:afterAutospacing="1"/>
      <w:ind w:left="720"/>
    </w:pPr>
    <w:rPr>
      <w:rFonts w:ascii="Times New Roman" w:hAnsi="Times New Roman"/>
      <w:color w:val="auto"/>
      <w:sz w:val="24"/>
      <w:szCs w:val="24"/>
    </w:rPr>
  </w:style>
  <w:style w:type="paragraph" w:customStyle="1" w:styleId="pf0">
    <w:name w:val="pf0"/>
    <w:basedOn w:val="Normal"/>
    <w:rsid w:val="0068631C"/>
    <w:pPr>
      <w:spacing w:before="100" w:beforeAutospacing="1" w:after="100" w:afterAutospacing="1"/>
    </w:pPr>
    <w:rPr>
      <w:rFonts w:ascii="Times New Roman" w:hAnsi="Times New Roman"/>
      <w:color w:val="auto"/>
      <w:sz w:val="24"/>
      <w:szCs w:val="24"/>
    </w:rPr>
  </w:style>
  <w:style w:type="character" w:customStyle="1" w:styleId="cf11">
    <w:name w:val="cf11"/>
    <w:basedOn w:val="DefaultParagraphFont"/>
    <w:rsid w:val="0068631C"/>
    <w:rPr>
      <w:rFonts w:ascii="Segoe UI" w:hAnsi="Segoe UI" w:cs="Segoe UI" w:hint="default"/>
      <w:sz w:val="18"/>
      <w:szCs w:val="18"/>
    </w:rPr>
  </w:style>
  <w:style w:type="paragraph" w:styleId="ListNumber">
    <w:name w:val="List Number"/>
    <w:basedOn w:val="Normal"/>
    <w:uiPriority w:val="99"/>
    <w:semiHidden/>
    <w:unhideWhenUsed/>
    <w:qFormat/>
    <w:rsid w:val="00111FD4"/>
    <w:pPr>
      <w:spacing w:before="0" w:after="200" w:line="276" w:lineRule="auto"/>
    </w:pPr>
    <w:rPr>
      <w:rFonts w:ascii="Arial" w:eastAsia="Calibri" w:hAnsi="Arial"/>
      <w:color w:val="auto"/>
      <w:szCs w:val="22"/>
      <w:lang w:eastAsia="en-US"/>
    </w:rPr>
  </w:style>
  <w:style w:type="character" w:customStyle="1" w:styleId="Advisorytext">
    <w:name w:val="Advisory text"/>
    <w:basedOn w:val="DefaultParagraphFont"/>
    <w:uiPriority w:val="99"/>
    <w:rsid w:val="00111FD4"/>
    <w:rPr>
      <w:color w:val="FF0000"/>
    </w:rPr>
  </w:style>
  <w:style w:type="paragraph" w:styleId="NormalWeb">
    <w:name w:val="Normal (Web)"/>
    <w:basedOn w:val="Normal"/>
    <w:uiPriority w:val="99"/>
    <w:unhideWhenUsed/>
    <w:rsid w:val="00EC3E72"/>
    <w:pPr>
      <w:spacing w:before="100" w:beforeAutospacing="1" w:after="100" w:afterAutospacing="1"/>
    </w:pPr>
    <w:rPr>
      <w:rFonts w:ascii="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60917">
      <w:bodyDiv w:val="1"/>
      <w:marLeft w:val="0"/>
      <w:marRight w:val="0"/>
      <w:marTop w:val="0"/>
      <w:marBottom w:val="0"/>
      <w:divBdr>
        <w:top w:val="none" w:sz="0" w:space="0" w:color="auto"/>
        <w:left w:val="none" w:sz="0" w:space="0" w:color="auto"/>
        <w:bottom w:val="none" w:sz="0" w:space="0" w:color="auto"/>
        <w:right w:val="none" w:sz="0" w:space="0" w:color="auto"/>
      </w:divBdr>
    </w:div>
    <w:div w:id="43024605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29563821">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466391977">
      <w:bodyDiv w:val="1"/>
      <w:marLeft w:val="0"/>
      <w:marRight w:val="0"/>
      <w:marTop w:val="0"/>
      <w:marBottom w:val="0"/>
      <w:divBdr>
        <w:top w:val="none" w:sz="0" w:space="0" w:color="auto"/>
        <w:left w:val="none" w:sz="0" w:space="0" w:color="auto"/>
        <w:bottom w:val="none" w:sz="0" w:space="0" w:color="auto"/>
        <w:right w:val="none" w:sz="0" w:space="0" w:color="auto"/>
      </w:divBdr>
    </w:div>
    <w:div w:id="1575354810">
      <w:bodyDiv w:val="1"/>
      <w:marLeft w:val="0"/>
      <w:marRight w:val="0"/>
      <w:marTop w:val="0"/>
      <w:marBottom w:val="0"/>
      <w:divBdr>
        <w:top w:val="none" w:sz="0" w:space="0" w:color="auto"/>
        <w:left w:val="none" w:sz="0" w:space="0" w:color="auto"/>
        <w:bottom w:val="none" w:sz="0" w:space="0" w:color="auto"/>
        <w:right w:val="none" w:sz="0" w:space="0" w:color="auto"/>
      </w:divBdr>
    </w:div>
    <w:div w:id="1680505576">
      <w:bodyDiv w:val="1"/>
      <w:marLeft w:val="0"/>
      <w:marRight w:val="0"/>
      <w:marTop w:val="0"/>
      <w:marBottom w:val="0"/>
      <w:divBdr>
        <w:top w:val="none" w:sz="0" w:space="0" w:color="auto"/>
        <w:left w:val="none" w:sz="0" w:space="0" w:color="auto"/>
        <w:bottom w:val="none" w:sz="0" w:space="0" w:color="auto"/>
        <w:right w:val="none" w:sz="0" w:space="0" w:color="auto"/>
      </w:divBdr>
    </w:div>
    <w:div w:id="199263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pmc.gov.au/honours-and-symbols/commonwealth-coat-arms" TargetMode="External"/><Relationship Id="rId26" Type="http://schemas.openxmlformats.org/officeDocument/2006/relationships/hyperlink" Target="mailto:GroceryCodeReview@treasury.gov.au" TargetMode="External"/><Relationship Id="rId39" Type="http://schemas.openxmlformats.org/officeDocument/2006/relationships/glossaryDocument" Target="glossary/document.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3.0/au/deed.en" TargetMode="External"/><Relationship Id="rId25" Type="http://schemas.openxmlformats.org/officeDocument/2006/relationships/hyperlink" Target="https://treasury.gov.au/submission-guidelines" TargetMode="Externa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mailto:media@treasury.gov.au" TargetMode="External"/><Relationship Id="rId31" Type="http://schemas.openxmlformats.org/officeDocument/2006/relationships/hyperlink" Target="https://www.accc.gov.au/system/files/Grocery%20inquiry%20report%20-%20July%202008.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hyperlink" Target="mailto:GroceryCodeReview@treasury.gov.au" TargetMode="External"/><Relationship Id="rId30" Type="http://schemas.openxmlformats.org/officeDocument/2006/relationships/image" Target="media/image3.png"/><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treasury.gov.au/sites/default/files/2021-08/Independent-review-of-the-Food-and-Grocery-Code-of-Conduct-Final-Report.pdf" TargetMode="External"/><Relationship Id="rId18" Type="http://schemas.openxmlformats.org/officeDocument/2006/relationships/hyperlink" Target="https://www.accc.gov.au/system/files/ACCC%20submission%20to%20the%202023%20Food%20and%20Grocery%20Code%20Review%20%28Dispute%20Resolution%20Provisions%29.pdf" TargetMode="External"/><Relationship Id="rId26" Type="http://schemas.openxmlformats.org/officeDocument/2006/relationships/hyperlink" Target="https://grocerycodereviewer.gov.au/code-arbiter/coles" TargetMode="External"/><Relationship Id="rId39" Type="http://schemas.openxmlformats.org/officeDocument/2006/relationships/hyperlink" Target="https://grocerycodereviewer.gov.au/sites/grocerycodereviewer.gov.au/files/2023-11/fg-ind-reviewer-ar-2022-23.pdf" TargetMode="External"/><Relationship Id="rId21" Type="http://schemas.openxmlformats.org/officeDocument/2006/relationships/hyperlink" Target="https://www.accc.gov.au/system/files/ACCC%20submission%20to%20the%202023%20Food%20and%20Grocery%20Code%20Review%20%28Dispute%20Resolution%20Provisions%29.pdf" TargetMode="External"/><Relationship Id="rId34" Type="http://schemas.openxmlformats.org/officeDocument/2006/relationships/hyperlink" Target="https://www.accc.gov.au/system/files/ACCC%20submission%20to%20the%202023%20Food%20and%20Grocery%20Code%20Review%20%28Dispute%20Resolution%20Provisions%29.pdf" TargetMode="External"/><Relationship Id="rId42" Type="http://schemas.openxmlformats.org/officeDocument/2006/relationships/hyperlink" Target="https://www.pm.gov.au/media/meeting-national-cabinet-working-together-deliver-better-housing-outcomes" TargetMode="External"/><Relationship Id="rId7" Type="http://schemas.openxmlformats.org/officeDocument/2006/relationships/hyperlink" Target="https://www.legislation.gov.au/F2015L00242/latest/text" TargetMode="External"/><Relationship Id="rId2" Type="http://schemas.openxmlformats.org/officeDocument/2006/relationships/hyperlink" Target="https://www.legislation.gov.au/F2015L00242/latest/text" TargetMode="External"/><Relationship Id="rId16" Type="http://schemas.openxmlformats.org/officeDocument/2006/relationships/hyperlink" Target="https://www.skynews.com.au/australia-news/former-accc-chairman-allan-fels-declares-supermarket-review-led-by-craig-emerson-a-small-step-in-the-right-direction/news-story/454b717e6a30702cc30993fe0469d505" TargetMode="External"/><Relationship Id="rId29" Type="http://schemas.openxmlformats.org/officeDocument/2006/relationships/hyperlink" Target="https://www.accc.gov.au/system/files/ACCC%20submission%20to%20the%202023%20Food%20and%20Grocery%20Code%20Review%20%28Dispute%20Resolution%20Provisions%29.pdf" TargetMode="External"/><Relationship Id="rId1" Type="http://schemas.openxmlformats.org/officeDocument/2006/relationships/hyperlink" Target="https://www.pm.gov.au/media/appointment-dr-craig-emerson-independent-reviewer-food-and-grocery-code-conduct" TargetMode="External"/><Relationship Id="rId6" Type="http://schemas.openxmlformats.org/officeDocument/2006/relationships/hyperlink" Target="https://www.legislation.gov.au/F2015L00242/latest/text" TargetMode="External"/><Relationship Id="rId11" Type="http://schemas.openxmlformats.org/officeDocument/2006/relationships/hyperlink" Target="https://canadacode.org/faq/" TargetMode="External"/><Relationship Id="rId24" Type="http://schemas.openxmlformats.org/officeDocument/2006/relationships/hyperlink" Target="https://treasury.gov.au/sites/default/files/2021-08/Independent-review-of-the-Food-and-Grocery-Code-of-Conduct-Final-Report.pdf" TargetMode="External"/><Relationship Id="rId32" Type="http://schemas.openxmlformats.org/officeDocument/2006/relationships/hyperlink" Target="https://www.accc.gov.au/system/files/ACCC%20submission%20to%20the%202023%20Food%20and%20Grocery%20Code%20Review%20%28Dispute%20Resolution%20Provisions%29.pdf" TargetMode="External"/><Relationship Id="rId37" Type="http://schemas.openxmlformats.org/officeDocument/2006/relationships/hyperlink" Target="https://www.legislation.gov.au/C2004A00109/2021-03-03/text" TargetMode="External"/><Relationship Id="rId40" Type="http://schemas.openxmlformats.org/officeDocument/2006/relationships/hyperlink" Target="https://www.afr.com/companies/media-and-marketing/grocery-review-won-t-lower-checkout-prices-former-accc-chiefs-20240111-p5ewlg" TargetMode="External"/><Relationship Id="rId45" Type="http://schemas.openxmlformats.org/officeDocument/2006/relationships/hyperlink" Target="https://www.legislation.gov.au/C2011A00184/latest/text" TargetMode="External"/><Relationship Id="rId5" Type="http://schemas.openxmlformats.org/officeDocument/2006/relationships/hyperlink" Target="https://www.afgc.org.au/news-and-media/2023/10/food-and-grocery-manufacturers-welcome-review-of-essential-industry-code" TargetMode="External"/><Relationship Id="rId15" Type="http://schemas.openxmlformats.org/officeDocument/2006/relationships/hyperlink" Target="https://www.smh.com.au/national/nsw/if-the-pm-thinks-this-supermarket-sweep-is-enough-he-s-off-his-trolley-20240111-p5ewm0.html" TargetMode="External"/><Relationship Id="rId23" Type="http://schemas.openxmlformats.org/officeDocument/2006/relationships/hyperlink" Target="https://treasury.gov.au/sites/default/files/2021-08/Independent-review-of-the-Food-and-Grocery-Code-of-Conduct-Final-Report.pdf" TargetMode="External"/><Relationship Id="rId28" Type="http://schemas.openxmlformats.org/officeDocument/2006/relationships/hyperlink" Target="https://grocerycodereviewer.gov.au/code-arbiter/aldi" TargetMode="External"/><Relationship Id="rId36" Type="http://schemas.openxmlformats.org/officeDocument/2006/relationships/hyperlink" Target="https://www.legislation.gov.au/C2004A00109/2021-03-03/text" TargetMode="External"/><Relationship Id="rId10" Type="http://schemas.openxmlformats.org/officeDocument/2006/relationships/hyperlink" Target="https://www.mbie.govt.nz/about/news/new-grocery-code-of-conduct-mandatory-for-suppliers/" TargetMode="External"/><Relationship Id="rId19" Type="http://schemas.openxmlformats.org/officeDocument/2006/relationships/hyperlink" Target="https://www.accc.gov.au/system/files/ACCC%20submission%20to%20the%202023%20Food%20and%20Grocery%20Code%20Review%20%28Dispute%20Resolution%20Provisions%29.pdf" TargetMode="External"/><Relationship Id="rId31" Type="http://schemas.openxmlformats.org/officeDocument/2006/relationships/hyperlink" Target="https://www.accc.gov.au/system/files/ACCC%20submission%20to%20the%202023%20Food%20and%20Grocery%20Code%20Review%20%28Dispute%20Resolution%20Provisions%29.pdf" TargetMode="External"/><Relationship Id="rId44" Type="http://schemas.openxmlformats.org/officeDocument/2006/relationships/hyperlink" Target="https://www.accc.gov.au/media-release/supermarket-agreement-opens-way-for-more-competition" TargetMode="External"/><Relationship Id="rId4" Type="http://schemas.openxmlformats.org/officeDocument/2006/relationships/hyperlink" Target="https://nff.org.au/media-release/nff-calls-on-food-and-grocery-code-review-to-give-code-teeth/" TargetMode="External"/><Relationship Id="rId9" Type="http://schemas.openxmlformats.org/officeDocument/2006/relationships/hyperlink" Target="https://treasury.gov.au/sites/default/files/2021-08/Independent-review-of-the-Food-and-Grocery-Code-of-Conduct-Final-Report.pdf" TargetMode="External"/><Relationship Id="rId14" Type="http://schemas.openxmlformats.org/officeDocument/2006/relationships/hyperlink" Target="https://treasury.gov.au/sites/default/files/2021-08/Independent-review-of-the-Food-and-Grocery-Code-of-Conduct-Final-Report.pdf" TargetMode="External"/><Relationship Id="rId22" Type="http://schemas.openxmlformats.org/officeDocument/2006/relationships/hyperlink" Target="https://www.accc.gov.au/system/files/ACCC%20submission%20to%20the%202023%20Food%20and%20Grocery%20Code%20Review%20%28Dispute%20Resolution%20Provisions%29.pdf" TargetMode="External"/><Relationship Id="rId27" Type="http://schemas.openxmlformats.org/officeDocument/2006/relationships/hyperlink" Target="https://grocerycodereviewer.gov.au/code-arbiter/metcash" TargetMode="External"/><Relationship Id="rId30" Type="http://schemas.openxmlformats.org/officeDocument/2006/relationships/hyperlink" Target="https://www.accc.gov.au/system/files/ACCC%20submission%20to%20the%202023%20Food%20and%20Grocery%20Code%20Review%20%28Dispute%20Resolution%20Provisions%29.pdf" TargetMode="External"/><Relationship Id="rId35" Type="http://schemas.openxmlformats.org/officeDocument/2006/relationships/hyperlink" Target="https://www.legislation.gov.au/C2004A00109/2021-03-03/text" TargetMode="External"/><Relationship Id="rId43" Type="http://schemas.openxmlformats.org/officeDocument/2006/relationships/hyperlink" Target="https://ministers.treasury.gov.au/ministers/jim-chalmers-2022/media-releases/treasurers-meet-queensland" TargetMode="External"/><Relationship Id="rId8" Type="http://schemas.openxmlformats.org/officeDocument/2006/relationships/hyperlink" Target="https://www.legislation.gov.au/F2015L00242/latest/text" TargetMode="External"/><Relationship Id="rId3" Type="http://schemas.openxmlformats.org/officeDocument/2006/relationships/hyperlink" Target="https://www.afr.com/companies/media-and-marketing/grocery-review-won-t-lower-checkout-prices-former-accc-chiefs-20240111-p5ewlg" TargetMode="External"/><Relationship Id="rId12" Type="http://schemas.openxmlformats.org/officeDocument/2006/relationships/hyperlink" Target="https://treasury.gov.au/sites/default/files/2021-08/Independent-review-of-the-Food-and-Grocery-Code-of-Conduct-Final-Report.pdf" TargetMode="External"/><Relationship Id="rId17" Type="http://schemas.openxmlformats.org/officeDocument/2006/relationships/hyperlink" Target="https://www.accc.gov.au/system/files/ACCC%20submission%20to%20the%202023%20Food%20and%20Grocery%20Code%20Review%20%28Dispute%20Resolution%20Provisions%29.pdf" TargetMode="External"/><Relationship Id="rId25" Type="http://schemas.openxmlformats.org/officeDocument/2006/relationships/hyperlink" Target="https://grocerycodereviewer.gov.au/code-arbiter/woolworths" TargetMode="External"/><Relationship Id="rId33" Type="http://schemas.openxmlformats.org/officeDocument/2006/relationships/hyperlink" Target="https://www.accc.gov.au/system/files/ACCC%20submission%20to%20the%202023%20Food%20and%20Grocery%20Code%20Review%20%28Dispute%20Resolution%20Provisions%29.pdf" TargetMode="External"/><Relationship Id="rId38" Type="http://schemas.openxmlformats.org/officeDocument/2006/relationships/hyperlink" Target="https://www.accc.gov.au/system/files/ACCC%20submission%20to%20the%202023%20Food%20and%20Grocery%20Code%20Review%20%28Dispute%20Resolution%20Provisions%29.pdf" TargetMode="External"/><Relationship Id="rId46" Type="http://schemas.openxmlformats.org/officeDocument/2006/relationships/hyperlink" Target="https://parlinfo.aph.gov.au/parlInfo/download/legislation/ems/r4600_ems_b10671f4-f2bd-450c-92b8-48c32166a367/upload_pdf/356635.pdf;fileType=application%2Fpdf" TargetMode="External"/><Relationship Id="rId20" Type="http://schemas.openxmlformats.org/officeDocument/2006/relationships/hyperlink" Target="https://www.accc.gov.au/system/files/ACCC%20submission%20to%20the%202023%20Food%20and%20Grocery%20Code%20Review%20%28Dispute%20Resolution%20Provisions%29.pdf" TargetMode="External"/><Relationship Id="rId41" Type="http://schemas.openxmlformats.org/officeDocument/2006/relationships/hyperlink" Target="https://www.legislation.gov.au/C2004A00109/2021-03-03/te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Independent%20A4%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19201A7C2C4F9EB1EAAFC844D91D74"/>
        <w:category>
          <w:name w:val="General"/>
          <w:gallery w:val="placeholder"/>
        </w:category>
        <w:types>
          <w:type w:val="bbPlcHdr"/>
        </w:types>
        <w:behaviors>
          <w:behavior w:val="content"/>
        </w:behaviors>
        <w:guid w:val="{0879897F-1632-4519-955B-2DF3FB01481A}"/>
      </w:docPartPr>
      <w:docPartBody>
        <w:p w:rsidR="00AB0FE0" w:rsidRDefault="00AB0FE0" w:rsidP="00AB0FE0">
          <w:pPr>
            <w:pStyle w:val="DF19201A7C2C4F9EB1EAAFC844D91D74"/>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F2A"/>
    <w:rsid w:val="000A4B22"/>
    <w:rsid w:val="000B2170"/>
    <w:rsid w:val="000C6380"/>
    <w:rsid w:val="001175E8"/>
    <w:rsid w:val="002144BD"/>
    <w:rsid w:val="002B30E6"/>
    <w:rsid w:val="004A1C8E"/>
    <w:rsid w:val="004E7B4A"/>
    <w:rsid w:val="00650C1C"/>
    <w:rsid w:val="0066322B"/>
    <w:rsid w:val="006952D0"/>
    <w:rsid w:val="006B5AAE"/>
    <w:rsid w:val="007D3251"/>
    <w:rsid w:val="007F46C5"/>
    <w:rsid w:val="008F2B4D"/>
    <w:rsid w:val="00942225"/>
    <w:rsid w:val="00A46F2A"/>
    <w:rsid w:val="00AB0FE0"/>
    <w:rsid w:val="00B7325E"/>
    <w:rsid w:val="00DD76B9"/>
    <w:rsid w:val="00E31916"/>
    <w:rsid w:val="00ED71C3"/>
    <w:rsid w:val="00EE72AB"/>
    <w:rsid w:val="00F10F49"/>
    <w:rsid w:val="00F616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DD654A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FE0"/>
    <w:rPr>
      <w:color w:val="808080"/>
    </w:rPr>
  </w:style>
  <w:style w:type="paragraph" w:customStyle="1" w:styleId="DF19201A7C2C4F9EB1EAAFC844D91D74">
    <w:name w:val="DF19201A7C2C4F9EB1EAAFC844D91D74"/>
    <w:rsid w:val="00AB0FE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dc375a31-9a38-4dbf-8c94-7aeffc3c2066</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292f4105-dd3a-44fd-bb8a-e8b20844f612</TermId>
        </TermInfo>
      </Terms>
    </kfc39f3e4e2747ae990d3c8bb74a5a64>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Competition</TermName>
          <TermId xmlns="http://schemas.microsoft.com/office/infopath/2007/PartnerControls">953ae1f2-777b-4abb-8385-00f4be96f22a</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Industry Codes</TermName>
          <TermId xmlns="http://schemas.microsoft.com/office/infopath/2007/PartnerControls">b96370a5-5e94-4e3f-ac00-f9b5e310dc3a</TermId>
        </TermInfo>
      </Terms>
    </gfba5f33532c49208d2320ce38cc3c2b>
    <TaxCatchAll xmlns="54e260aa-fe05-4d61-8c39-0bbe75d038fe">
      <Value>12</Value>
      <Value>47</Value>
      <Value>29</Value>
      <Value>1</Value>
    </TaxCatchAll>
    <_dlc_DocId xmlns="fe39d773-a83d-4623-ae74-f25711a76616">YKV7SRFHFRMA-1607288995-92</_dlc_DocId>
    <_dlc_DocIdUrl xmlns="fe39d773-a83d-4623-ae74-f25711a76616">
      <Url>https://austreasury.sharepoint.com/sites/ccodes-function/_layouts/15/DocIdRedir.aspx?ID=YKV7SRFHFRMA-1607288995-92</Url>
      <Description>YKV7SRFHFRMA-1607288995-92</Description>
    </_dlc_DocIdUrl>
    <SharedWithUsers xmlns="54e260aa-fe05-4d61-8c39-0bbe75d038fe">
      <UserInfo>
        <DisplayName>McDonald, Tony</DisplayName>
        <AccountId>132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B1D57387532749A271A6825D17A9BE" ma:contentTypeVersion="12" ma:contentTypeDescription="Create a new document." ma:contentTypeScope="" ma:versionID="32e3663ad31fa56b078af71f10823732">
  <xsd:schema xmlns:xsd="http://www.w3.org/2001/XMLSchema" xmlns:xs="http://www.w3.org/2001/XMLSchema" xmlns:p="http://schemas.microsoft.com/office/2006/metadata/properties" xmlns:ns2="54e260aa-fe05-4d61-8c39-0bbe75d038fe" xmlns:ns3="fe39d773-a83d-4623-ae74-f25711a76616" xmlns:ns4="150c5832-0e4c-48ce-b81f-9535b497991e" targetNamespace="http://schemas.microsoft.com/office/2006/metadata/properties" ma:root="true" ma:fieldsID="e1fb561a5aaedcc05fd7ef20ed9059bc" ns2:_="" ns3:_="" ns4:_="">
    <xsd:import namespace="54e260aa-fe05-4d61-8c39-0bbe75d038fe"/>
    <xsd:import namespace="fe39d773-a83d-4623-ae74-f25711a76616"/>
    <xsd:import namespace="150c5832-0e4c-48ce-b81f-9535b497991e"/>
    <xsd:element name="properties">
      <xsd:complexType>
        <xsd:sequence>
          <xsd:element name="documentManagement">
            <xsd:complexType>
              <xsd:all>
                <xsd:element ref="ns3:_dlc_DocId" minOccurs="0"/>
                <xsd:element ref="ns3:_dlc_DocIdUrl" minOccurs="0"/>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4:MediaServiceMetadata" minOccurs="0"/>
                <xsd:element ref="ns4:MediaServiceFastMetadata" minOccurs="0"/>
                <xsd:element ref="ns4:MediaServiceObjectDetectorVersions" minOccurs="0"/>
                <xsd:element ref="ns2:SharedWithUsers" minOccurs="0"/>
                <xsd:element ref="ns2: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260aa-fe05-4d61-8c39-0bbe75d038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d0caa8-b04c-4752-8ae6-9cd7a9c716a1}" ma:internalName="TaxCatchAll" ma:showField="CatchAllData" ma:web="54e260aa-fe05-4d61-8c39-0bbe75d038f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4d0caa8-b04c-4752-8ae6-9cd7a9c716a1}" ma:internalName="TaxCatchAllLabel" ma:readOnly="true" ma:showField="CatchAllDataLabel" ma:web="54e260aa-fe05-4d61-8c39-0bbe75d038fe">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Competition|953ae1f2-777b-4abb-8385-00f4be96f22a"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5b706edf-b1e5-4cb0-9d73-8913799520ff"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62fd5056-221a-4e6b-9df9-5cdf2d7bee24"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5abbaea2-7bd8-41be-8943-70ce3a1bb8e3"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0c5832-0e4c-48ce-b81f-9535b497991e"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2.xml><?xml version="1.0" encoding="utf-8"?>
<ds:datastoreItem xmlns:ds="http://schemas.openxmlformats.org/officeDocument/2006/customXml" ds:itemID="{0BCA638C-299D-439C-B01E-5AE14373FC46}">
  <ds:schemaRefs>
    <ds:schemaRef ds:uri="http://purl.org/dc/elements/1.1/"/>
    <ds:schemaRef ds:uri="http://schemas.microsoft.com/office/2006/metadata/properties"/>
    <ds:schemaRef ds:uri="http://purl.org/dc/dcmitype/"/>
    <ds:schemaRef ds:uri="fe39d773-a83d-4623-ae74-f25711a76616"/>
    <ds:schemaRef ds:uri="http://schemas.microsoft.com/office/2006/documentManagement/types"/>
    <ds:schemaRef ds:uri="http://www.w3.org/XML/1998/namespace"/>
    <ds:schemaRef ds:uri="54e260aa-fe05-4d61-8c39-0bbe75d038fe"/>
    <ds:schemaRef ds:uri="http://purl.org/dc/terms/"/>
    <ds:schemaRef ds:uri="http://schemas.microsoft.com/office/infopath/2007/PartnerControls"/>
    <ds:schemaRef ds:uri="http://schemas.openxmlformats.org/package/2006/metadata/core-properties"/>
    <ds:schemaRef ds:uri="150c5832-0e4c-48ce-b81f-9535b497991e"/>
  </ds:schemaRefs>
</ds:datastoreItem>
</file>

<file path=customXml/itemProps3.xml><?xml version="1.0" encoding="utf-8"?>
<ds:datastoreItem xmlns:ds="http://schemas.openxmlformats.org/officeDocument/2006/customXml" ds:itemID="{D8C7DFE6-6876-4999-92A8-E154CA267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260aa-fe05-4d61-8c39-0bbe75d038fe"/>
    <ds:schemaRef ds:uri="fe39d773-a83d-4623-ae74-f25711a76616"/>
    <ds:schemaRef ds:uri="150c5832-0e4c-48ce-b81f-9535b4979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4ACDEB-6BCC-481E-BD31-2E6CEB4FA392}">
  <ds:schemaRefs>
    <ds:schemaRef ds:uri="http://schemas.microsoft.com/sharepoint/events"/>
  </ds:schemaRefs>
</ds:datastoreItem>
</file>

<file path=customXml/itemProps5.xml><?xml version="1.0" encoding="utf-8"?>
<ds:datastoreItem xmlns:ds="http://schemas.openxmlformats.org/officeDocument/2006/customXml" ds:itemID="{B30DE3FD-8D96-4352-B763-B3D0F857A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Independent A4 Report.dotm</Template>
  <TotalTime>1</TotalTime>
  <Pages>28</Pages>
  <Words>8354</Words>
  <Characters>45869</Characters>
  <Application>Microsoft Office Word</Application>
  <DocSecurity>0</DocSecurity>
  <Lines>819</Lines>
  <Paragraphs>426</Paragraphs>
  <ScaleCrop>false</ScaleCrop>
  <HeadingPairs>
    <vt:vector size="2" baseType="variant">
      <vt:variant>
        <vt:lpstr>Title</vt:lpstr>
      </vt:variant>
      <vt:variant>
        <vt:i4>1</vt:i4>
      </vt:variant>
    </vt:vector>
  </HeadingPairs>
  <TitlesOfParts>
    <vt:vector size="1" baseType="lpstr">
      <vt:lpstr>Independent Review of the Food and Grocery Code of Conduct 2023–24 Consultation Paper</vt:lpstr>
    </vt:vector>
  </TitlesOfParts>
  <Company>Australian Government - The Treasury</Company>
  <LinksUpToDate>false</LinksUpToDate>
  <CharactersWithSpaces>53797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Food and Grocery Code of Conduct 2023–24 Consultation Paper</dc:title>
  <dc:subject>Consultation Paper</dc:subject>
  <dc:creator>The Treasury</dc:creator>
  <cp:keywords/>
  <cp:lastModifiedBy>Thomas, Deborah</cp:lastModifiedBy>
  <cp:revision>2</cp:revision>
  <cp:lastPrinted>2024-02-02T16:30:00Z</cp:lastPrinted>
  <dcterms:created xsi:type="dcterms:W3CDTF">2024-02-02T00:06:00Z</dcterms:created>
  <dcterms:modified xsi:type="dcterms:W3CDTF">2024-02-02T00:06:00Z</dcterms:modified>
</cp:coreProperties>
</file>